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B8220" w14:textId="77777777" w:rsidR="00557590" w:rsidRPr="00A6645B" w:rsidRDefault="002F6E31" w:rsidP="002F6E31">
      <w:pPr>
        <w:pStyle w:val="NormalWeb"/>
        <w:tabs>
          <w:tab w:val="left" w:pos="6975"/>
          <w:tab w:val="left" w:pos="7200"/>
        </w:tabs>
        <w:spacing w:before="0" w:beforeAutospacing="0" w:after="0" w:afterAutospacing="0" w:line="360" w:lineRule="auto"/>
        <w:jc w:val="right"/>
        <w:rPr>
          <w:b/>
          <w:i/>
          <w:lang w:val="en-US"/>
        </w:rPr>
      </w:pPr>
      <w:r w:rsidRPr="00060D24">
        <w:rPr>
          <w:b/>
          <w:i/>
        </w:rPr>
        <w:t xml:space="preserve">Приложение </w:t>
      </w:r>
      <w:r w:rsidR="00A6645B">
        <w:rPr>
          <w:b/>
          <w:i/>
          <w:lang w:val="en-US"/>
        </w:rPr>
        <w:t>XI</w:t>
      </w:r>
    </w:p>
    <w:p w14:paraId="626BC2D7" w14:textId="77777777" w:rsidR="0085434F" w:rsidRPr="00060D24" w:rsidRDefault="0085434F" w:rsidP="00C700F9">
      <w:pPr>
        <w:spacing w:line="360" w:lineRule="auto"/>
        <w:jc w:val="center"/>
        <w:rPr>
          <w:b/>
        </w:rPr>
      </w:pPr>
    </w:p>
    <w:p w14:paraId="5B1E9B4E" w14:textId="77777777" w:rsidR="0048299E" w:rsidRPr="00060D24" w:rsidRDefault="0048299E" w:rsidP="00C700F9">
      <w:pPr>
        <w:spacing w:line="360" w:lineRule="auto"/>
        <w:jc w:val="center"/>
        <w:rPr>
          <w:b/>
        </w:rPr>
      </w:pPr>
    </w:p>
    <w:p w14:paraId="4038DA13" w14:textId="77777777" w:rsidR="0085434F" w:rsidRPr="00060D24" w:rsidRDefault="0048299E" w:rsidP="00C700F9">
      <w:pPr>
        <w:spacing w:line="360" w:lineRule="auto"/>
        <w:jc w:val="center"/>
        <w:rPr>
          <w:b/>
          <w:color w:val="FF0000"/>
        </w:rPr>
      </w:pPr>
      <w:r w:rsidRPr="00060D24">
        <w:rPr>
          <w:b/>
        </w:rPr>
        <w:tab/>
      </w:r>
      <w:r w:rsidR="00AE4017" w:rsidRPr="00060D24">
        <w:rPr>
          <w:bCs/>
        </w:rPr>
        <w:t xml:space="preserve"> </w:t>
      </w:r>
      <w:r w:rsidR="00AE4017" w:rsidRPr="00060D24">
        <w:rPr>
          <w:b/>
        </w:rPr>
        <w:t>РЕЖИМ НА ПОМОЩ – НОРМАТИВНА УРЕДБА  И АНАЛИЗИ</w:t>
      </w:r>
      <w:r w:rsidRPr="00060D24">
        <w:rPr>
          <w:b/>
          <w:color w:val="FF0000"/>
        </w:rPr>
        <w:br/>
      </w:r>
    </w:p>
    <w:p w14:paraId="6012E377" w14:textId="77777777" w:rsidR="0085434F" w:rsidRPr="00060D24" w:rsidRDefault="0085434F" w:rsidP="00C700F9">
      <w:pPr>
        <w:spacing w:line="360" w:lineRule="auto"/>
        <w:jc w:val="center"/>
      </w:pPr>
    </w:p>
    <w:p w14:paraId="4FAD40E5" w14:textId="77777777" w:rsidR="0085434F" w:rsidRPr="00060D24" w:rsidRDefault="00AE4017" w:rsidP="00AE4017">
      <w:pPr>
        <w:spacing w:line="360" w:lineRule="auto"/>
        <w:ind w:firstLine="360"/>
        <w:jc w:val="both"/>
      </w:pPr>
      <w:r w:rsidRPr="00060D24">
        <w:t xml:space="preserve">Съгласно т.16. Приложим режим на държавни помощи от Условията за кандидатстване по процедура </w:t>
      </w:r>
      <w:bookmarkStart w:id="0" w:name="_Hlk115878925"/>
      <w:r w:rsidR="006A208A" w:rsidRPr="006A208A">
        <w:rPr>
          <w:b/>
          <w:bCs/>
        </w:rPr>
        <w:t>BG05SFPR001-1.0</w:t>
      </w:r>
      <w:r w:rsidR="005D0C53">
        <w:rPr>
          <w:b/>
          <w:bCs/>
        </w:rPr>
        <w:t>12</w:t>
      </w:r>
      <w:r w:rsidR="006A208A" w:rsidRPr="006A208A">
        <w:rPr>
          <w:b/>
          <w:bCs/>
        </w:rPr>
        <w:t xml:space="preserve"> „Комплексни програми на общинско ниво за десегрегация на училищата, превенция на вторичната сегрегация и против дискриминацията (чрез </w:t>
      </w:r>
      <w:r w:rsidR="005D0C53">
        <w:rPr>
          <w:b/>
          <w:bCs/>
        </w:rPr>
        <w:t>прилагане на подхода ИТИ-2</w:t>
      </w:r>
      <w:r w:rsidR="006A208A" w:rsidRPr="006A208A">
        <w:rPr>
          <w:b/>
          <w:bCs/>
        </w:rPr>
        <w:t>)“</w:t>
      </w:r>
      <w:bookmarkEnd w:id="0"/>
      <w:r w:rsidR="00E37A76" w:rsidRPr="00060D24">
        <w:t>,</w:t>
      </w:r>
      <w:r w:rsidRPr="00060D24">
        <w:t xml:space="preserve"> Управляващият орган на Програма „Образование“ 2021-2027 г. представя следната обосновка за избрания режим на помощ по цитираната процедура:</w:t>
      </w:r>
    </w:p>
    <w:p w14:paraId="449F63EA" w14:textId="77777777" w:rsidR="00AE4017" w:rsidRPr="00060D24" w:rsidRDefault="00AE4017" w:rsidP="00E37A76">
      <w:pPr>
        <w:spacing w:line="360" w:lineRule="auto"/>
        <w:jc w:val="both"/>
      </w:pPr>
    </w:p>
    <w:p w14:paraId="31C8CFDE" w14:textId="77777777" w:rsidR="00AE4017" w:rsidRPr="00060D24" w:rsidRDefault="00AE4017" w:rsidP="00AE4017">
      <w:pPr>
        <w:numPr>
          <w:ilvl w:val="0"/>
          <w:numId w:val="8"/>
        </w:numPr>
        <w:spacing w:line="360" w:lineRule="auto"/>
        <w:jc w:val="both"/>
        <w:rPr>
          <w:u w:val="single"/>
        </w:rPr>
      </w:pPr>
      <w:r w:rsidRPr="00060D24">
        <w:rPr>
          <w:u w:val="single"/>
        </w:rPr>
        <w:t>Преглед на приложимата нормативна уредба</w:t>
      </w:r>
    </w:p>
    <w:p w14:paraId="7FDB328A"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т. 17 - 18 от Известието, чл. 107, §1 от ДФЕС не се прилага, когато публично правни субекти действат „в качеството си на публични органи“, каквито са държавните и общинските образователни институции – детски градини, училища и общините, когато извършват нестопански дейности по настоящата процедура. </w:t>
      </w:r>
    </w:p>
    <w:p w14:paraId="172ECF7F"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rPr>
          <w:b/>
          <w:bCs/>
        </w:rPr>
        <w:t xml:space="preserve">Държавните и общински училища – кандидати и партньори, </w:t>
      </w:r>
      <w:r w:rsidRPr="00060D24">
        <w:t xml:space="preserve">съгласно Закона за предучилищното и училищното образование (ЗПУО) са публични субекти, които изпълняват държавната политика в сферата на образованието и не се считат за предприятия по смисъла на и за целите на чл. 107, параграф 1 от Договора за функциониране на Европейския съюз (ДФЕС). </w:t>
      </w:r>
    </w:p>
    <w:p w14:paraId="79DAFC3F" w14:textId="77777777" w:rsidR="00AE4017"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чл. 25 и последващи от ЗПУО </w:t>
      </w:r>
      <w:r w:rsidRPr="00060D24">
        <w:rPr>
          <w:b/>
          <w:bCs/>
        </w:rPr>
        <w:t>държавните и общински училища</w:t>
      </w:r>
      <w:r w:rsidRPr="00060D24">
        <w:t xml:space="preserve"> са институции в системата на  образованието, в които се обучават, възпитават и социализират ученици като се осигуряват условия за равен достъп за придобиване на етап/степен на образование и личностното им развитие. </w:t>
      </w:r>
      <w:r w:rsidRPr="00060D24">
        <w:rPr>
          <w:b/>
          <w:bCs/>
        </w:rPr>
        <w:t>Дейностите на държавните и общински училища по настоящата процедура, съгласно ЗПУО и подзаконовата нормативна уредба в сферата на образованието, могат да се считат за нестопански, когато за изпълнението им в нормативен акт същите са посочени като такива, т.к. са „дейности, които са обект на държавна политика“ съгласно §1, т. 5 от Допълнителните разпоредби на ЗПУО</w:t>
      </w:r>
      <w:r w:rsidRPr="00060D24">
        <w:rPr>
          <w:rStyle w:val="FootnoteReference"/>
          <w:b/>
          <w:bCs/>
        </w:rPr>
        <w:footnoteReference w:id="2"/>
      </w:r>
      <w:r w:rsidRPr="00060D24">
        <w:t xml:space="preserve">. В съответствие с т. 28 - 29 от Известието общественото образование, организирано в рамките на националната образователна система и контролирано от държавата, може да се счита за нестопанска дейност. Във </w:t>
      </w:r>
      <w:r w:rsidRPr="00060D24">
        <w:lastRenderedPageBreak/>
        <w:t xml:space="preserve">връзка с това Съдът е приел, че държавата: „създавайки и поддържайки такава система на публично образование, която се финансира </w:t>
      </w:r>
      <w:r w:rsidRPr="00060D24">
        <w:rPr>
          <w:i/>
          <w:iCs/>
        </w:rPr>
        <w:t>поначало (изцяло или преимуществено)</w:t>
      </w:r>
      <w:r w:rsidRPr="00060D24">
        <w:rPr>
          <w:rStyle w:val="FootnoteReference"/>
        </w:rPr>
        <w:footnoteReference w:id="3"/>
      </w:r>
      <w:r w:rsidRPr="00060D24">
        <w:t xml:space="preserve"> от държавния бюджет, а не от учениците или от техните родители, […] не цели да се ангажира с платени дейности, а изпълнява своята мисия по отношение на населението в социалната, културната и образователната сфера“.  В тази връзка държавните и общинските училища не се считат за предприятия по смисъла на и за целите на чл. 107, параграф 1 от Договора за функциониране на Европейския съюз (ДФЕС) и за тях се прилага режим „непомощ“ за всяка от допустимите нестопански дейности.</w:t>
      </w:r>
    </w:p>
    <w:p w14:paraId="610BF72B" w14:textId="77777777" w:rsidR="00291A19" w:rsidRDefault="00291A19" w:rsidP="00291A19">
      <w:pPr>
        <w:pBdr>
          <w:top w:val="single" w:sz="4" w:space="1" w:color="auto"/>
          <w:left w:val="single" w:sz="4" w:space="13" w:color="auto"/>
          <w:bottom w:val="single" w:sz="4" w:space="1" w:color="auto"/>
          <w:right w:val="single" w:sz="4" w:space="4" w:color="auto"/>
        </w:pBdr>
        <w:spacing w:before="120"/>
        <w:jc w:val="both"/>
      </w:pPr>
      <w:r w:rsidRPr="00291A19">
        <w:rPr>
          <w:b/>
          <w:bCs/>
        </w:rPr>
        <w:t>Регионалните управления на образова</w:t>
      </w:r>
      <w:r w:rsidR="00B0283E" w:rsidRPr="00291A19">
        <w:rPr>
          <w:b/>
          <w:bCs/>
        </w:rPr>
        <w:t>н</w:t>
      </w:r>
      <w:r w:rsidRPr="00291A19">
        <w:rPr>
          <w:b/>
          <w:bCs/>
        </w:rPr>
        <w:t>ието</w:t>
      </w:r>
      <w:r>
        <w:t xml:space="preserve"> (РУО) – допустими партньори, съгласно чл. 252 от ЗПУО, са териториални администрации към министъра на образованието и науката за управление и контрол на системата на предучилищното и училищното образование. Съгласно чл. 253, ал. 1 от ЗПУО, РУО са юридически лица на бюджетна издръжка към министъра на образованието и науката. Дейностите могат да се считат за нестопански, когато в нормативен акт същите са посочени като такива, които следва да бъдат изпълнявани от структури на Министерството на образованието и науката, т.к. са „дейности, които са обект на държавна политика“ съгласно §1, т. 5 от Допълнителните разпоредби на ЗПУО и са в съответствие с т. 28 - 29 от Известието. </w:t>
      </w:r>
    </w:p>
    <w:p w14:paraId="2316173F" w14:textId="77777777" w:rsidR="00291A19" w:rsidRPr="00060D24" w:rsidRDefault="00291A19" w:rsidP="00291A19">
      <w:pPr>
        <w:pBdr>
          <w:top w:val="single" w:sz="4" w:space="1" w:color="auto"/>
          <w:left w:val="single" w:sz="4" w:space="13" w:color="auto"/>
          <w:bottom w:val="single" w:sz="4" w:space="1" w:color="auto"/>
          <w:right w:val="single" w:sz="4" w:space="4" w:color="auto"/>
        </w:pBdr>
        <w:spacing w:before="120"/>
        <w:jc w:val="both"/>
      </w:pPr>
      <w:r>
        <w:t>В тази връзка, за държавните и общински училища – кандидати и партньори и за РУО-партньори се прилага режим „непомощ“ за всички дейности по настоящата операция.</w:t>
      </w:r>
    </w:p>
    <w:p w14:paraId="21869192"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lang w:val="en-US"/>
        </w:rPr>
      </w:pPr>
      <w:r w:rsidRPr="00060D24">
        <w:t>При участие в дейности по процедурата, които са с неикономически характер и са съгласно издадени от министъра на образованието и науката правилници за дейността им, те представят Декларация за разграничение на икономическата от неикономическата дейност (</w:t>
      </w:r>
      <w:r w:rsidRPr="00060D24">
        <w:rPr>
          <w:i/>
          <w:iCs/>
        </w:rPr>
        <w:t>Приложение</w:t>
      </w:r>
      <w:r w:rsidR="00433B4C">
        <w:rPr>
          <w:i/>
          <w:iCs/>
        </w:rPr>
        <w:t xml:space="preserve"> </w:t>
      </w:r>
      <w:r w:rsidR="00433B4C">
        <w:rPr>
          <w:i/>
          <w:iCs/>
          <w:lang w:val="en-US"/>
        </w:rPr>
        <w:t>VII</w:t>
      </w:r>
      <w:r w:rsidR="00433B4C" w:rsidRPr="00060D24">
        <w:rPr>
          <w:i/>
          <w:iCs/>
        </w:rPr>
        <w:t xml:space="preserve"> </w:t>
      </w:r>
      <w:r w:rsidRPr="00060D24">
        <w:rPr>
          <w:i/>
          <w:iCs/>
        </w:rPr>
        <w:t>към Условията за кандидатстване</w:t>
      </w:r>
      <w:r w:rsidRPr="00060D24">
        <w:t>), предвид възможностите да извършват стопански дейности</w:t>
      </w:r>
      <w:r w:rsidRPr="00060D24">
        <w:rPr>
          <w:lang w:val="en-US"/>
        </w:rPr>
        <w:t>.</w:t>
      </w:r>
    </w:p>
    <w:p w14:paraId="428B6508"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rPr>
          <w:b/>
          <w:bCs/>
        </w:rPr>
        <w:t>Общините</w:t>
      </w:r>
      <w:r w:rsidRPr="00060D24">
        <w:t xml:space="preserve"> са допустими кандидати/партньори в качеството им на публични органи на местното самоуправление. Съгласно чл. 2, ал. 4 от ЗПУО участниците в образователния процес и институциите си партнират с общините. По реда на чл. 256 от ЗПУО общините осигуряват и контролират цялостния образователен процес на образователните институции и участниците в него чрез делегираните бюджети като трансферират ресурс към образователни институции и контролират дейността им. Общините, съгласно чл. </w:t>
      </w:r>
      <w:r w:rsidR="003D4801">
        <w:rPr>
          <w:lang w:val="en-US"/>
        </w:rPr>
        <w:t xml:space="preserve">256 </w:t>
      </w:r>
      <w:r w:rsidR="003D4801">
        <w:t>и др</w:t>
      </w:r>
      <w:r w:rsidR="0075151F">
        <w:rPr>
          <w:lang w:val="en-US"/>
        </w:rPr>
        <w:t>.</w:t>
      </w:r>
      <w:r w:rsidR="00E20C92">
        <w:rPr>
          <w:lang w:val="en-US"/>
        </w:rPr>
        <w:t xml:space="preserve"> </w:t>
      </w:r>
      <w:r w:rsidRPr="00060D24">
        <w:t>от ЗПУО, са длъжни да осигурят условия</w:t>
      </w:r>
      <w:r w:rsidR="006C2A53">
        <w:t>та</w:t>
      </w:r>
      <w:r w:rsidRPr="00060D24">
        <w:t xml:space="preserve"> </w:t>
      </w:r>
      <w:r w:rsidR="003D4801">
        <w:t xml:space="preserve">и организацията на дейностите в общинските образователни институции, условията </w:t>
      </w:r>
      <w:r w:rsidRPr="00060D24">
        <w:t>за обхвата на децата и учениците в системата на образованието, да финансират и контролират образователните институции</w:t>
      </w:r>
      <w:r w:rsidR="003D4801">
        <w:t xml:space="preserve"> за делегираните им от държавата дейности, включително за осигуряване на равен достъп до качествено образование</w:t>
      </w:r>
      <w:r w:rsidR="006C2A53">
        <w:t>. Общините</w:t>
      </w:r>
      <w:r w:rsidRPr="00060D24">
        <w:t xml:space="preserve">, изпълнявайки държавната политика в сферата на образованието – т.е. </w:t>
      </w:r>
      <w:r w:rsidRPr="00060D24">
        <w:rPr>
          <w:b/>
          <w:bCs/>
        </w:rPr>
        <w:t>изпълняват мисията на държавата</w:t>
      </w:r>
      <w:r w:rsidRPr="00060D24">
        <w:t xml:space="preserve"> „</w:t>
      </w:r>
      <w:r w:rsidRPr="00060D24">
        <w:rPr>
          <w:i/>
          <w:iCs/>
        </w:rPr>
        <w:t>по отношение на населението в социалната, културната и образователната сфера</w:t>
      </w:r>
      <w:r w:rsidRPr="00060D24">
        <w:t xml:space="preserve">“, поради което </w:t>
      </w:r>
      <w:r w:rsidR="006C2A53">
        <w:t>същит</w:t>
      </w:r>
      <w:r w:rsidR="006C2A53" w:rsidRPr="00060D24">
        <w:t xml:space="preserve">е </w:t>
      </w:r>
      <w:r w:rsidRPr="00060D24">
        <w:t>попадат извън понятието за предприятие. Общините по реда на чл. 21е от Наредбата за приобщаващото образование организират и провеждат мероприятията за деца и ученици</w:t>
      </w:r>
      <w:r w:rsidR="006C2A53">
        <w:t xml:space="preserve"> и техните родители</w:t>
      </w:r>
      <w:r w:rsidRPr="00060D24">
        <w:t xml:space="preserve"> съгласно заложеното в общински стратегически документ - план/програма за уязвими групи и/или общински план за дейностите за подкрепа за личностно развитие на децата и учениците от общината съгласно фун</w:t>
      </w:r>
      <w:r w:rsidR="00F801F6">
        <w:t>к</w:t>
      </w:r>
      <w:r w:rsidRPr="00060D24">
        <w:t xml:space="preserve">циите им по чл. 256, ал. 1, т. 12 (за общинска програма за подкрепа за личностно развитие на децата и учениците в системата на предучилищното и училищното образование и реализирането на местните политики) и ал. 4 от ЗПУО (като общински план/програма за интегриране на ромите и други уязвими групи в изпълнение на Национална стратегия на </w:t>
      </w:r>
      <w:r w:rsidRPr="00060D24">
        <w:lastRenderedPageBreak/>
        <w:t>Република България за приобщаване и участие на ромите (2021 - 2030)</w:t>
      </w:r>
      <w:r w:rsidRPr="00060D24">
        <w:rPr>
          <w:rStyle w:val="FootnoteReference"/>
        </w:rPr>
        <w:footnoteReference w:id="4"/>
      </w:r>
      <w:r w:rsidRPr="00060D24">
        <w:t>, приета с РМС № 278/05.05.2022 г.; общинска програма за детето в изпълнение на Препоръка (ЕС) 2021/1004 на Съвета от 14 юни 2021 година за създаване на Европейска гаранция за децата</w:t>
      </w:r>
      <w:r w:rsidRPr="00060D24">
        <w:rPr>
          <w:rStyle w:val="FootnoteReference"/>
        </w:rPr>
        <w:footnoteReference w:id="5"/>
      </w:r>
      <w:r w:rsidRPr="00060D24">
        <w:t xml:space="preserve"> и План за действие в изпълнение на Препоръка (ЕС) 2021/1004 на Съвета от 14 юни 2021 година за създаване на Европейска гаранция за децата</w:t>
      </w:r>
      <w:r w:rsidRPr="00060D24">
        <w:rPr>
          <w:rStyle w:val="FootnoteReference"/>
        </w:rPr>
        <w:footnoteReference w:id="6"/>
      </w:r>
      <w:r w:rsidRPr="00060D24">
        <w:t>, приет с РМС № 879/09.11.2022 г.), функциите им по чл. 103, ал. 1, т. 3, чл. 132, ал. 3 и др. от Закона за физическото възпитание и спорта. Обичайно</w:t>
      </w:r>
      <w:r w:rsidRPr="00060D24">
        <w:rPr>
          <w:lang w:val="en-US"/>
        </w:rPr>
        <w:t xml:space="preserve"> </w:t>
      </w:r>
      <w:r w:rsidRPr="00060D24">
        <w:t xml:space="preserve">общините трансферират ресурса в образователния процес и/или възлагат изпълнението на дейности на външни изпълнители, в съответствие с т. 89 – 96 от Известие на Комисията относно понятието за държавна помощ, посочено в чл. 107, параграф 1 от ДФЕС (Известието). Във връзка с изброеното общините не следва да се считат за предприятия, и </w:t>
      </w:r>
      <w:r w:rsidRPr="00060D24">
        <w:rPr>
          <w:lang w:val="en-US"/>
        </w:rPr>
        <w:t>за тях се прилага режим на „непомощ“</w:t>
      </w:r>
      <w:r w:rsidRPr="00060D24">
        <w:t xml:space="preserve"> при участието им в дейности по процедурата. Общественото образование, организирано в рамките на националната образователна система и контролирано от държавата, може да се счита за нестопанска дейност съгласно съдебната практика на Европейския съд (Решение на Съда на ЕС от 27 септември 1988 г. по дело Humbel и Edel (263/86, Recueil, стр. 5365, точка 18) и Решение на Съда на ЕС от 7 декември 1993 г. по дело Wirth (C-109/92, Recueil, стр. I-6447, точка 15) и Съобщение на Европейската комисия от 2016 г. - Известие на Комисията относно понятието за държавна помощ, посочено в чл. 107, параграф 1 от ДФЕС (Известието). Във връзка с това, съгласно т. 28 от Известието, Съдът е приел, че държавата: „създавайки и поддържайки такава система на публично образование, която се финансира </w:t>
      </w:r>
      <w:r w:rsidRPr="00060D24">
        <w:rPr>
          <w:b/>
          <w:bCs/>
        </w:rPr>
        <w:t>изцяло или преимуществено</w:t>
      </w:r>
      <w:r w:rsidRPr="00060D24">
        <w:t xml:space="preserve"> от държавния бюджет, а не от учениците или от техните родители, […] не цели да се ангажира с платени дейности, а изпълнява своята мисия по отношение на населението в социалната, културната и образователната сфера“</w:t>
      </w:r>
      <w:r w:rsidRPr="00060D24">
        <w:rPr>
          <w:rStyle w:val="FootnoteReference"/>
        </w:rPr>
        <w:footnoteReference w:id="7"/>
      </w:r>
      <w:r w:rsidRPr="00060D24">
        <w:t xml:space="preserve">.  </w:t>
      </w:r>
    </w:p>
    <w:p w14:paraId="78AFB952"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 xml:space="preserve">В т. 29 от Известието е уточнено, че неикономическият характер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Това е така защото този финансов принос често обхваща само малка част от реалните разходи за услугата и затова </w:t>
      </w:r>
      <w:r w:rsidRPr="00060D24">
        <w:rPr>
          <w:i/>
          <w:iCs/>
        </w:rPr>
        <w:t>не може да се смята за възнаграждение за предоставената услуга</w:t>
      </w:r>
      <w:r w:rsidRPr="00060D24">
        <w:t>.</w:t>
      </w:r>
    </w:p>
    <w:p w14:paraId="086581B1"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В точка 17 от Решението си от 7 декември 1993 г. по дело Wirth, Съдът посочва, че са налице и училища, които се финансират основно от частни средства, по-специално от средства на ученици и техните родители, и които учебни заведения се стремят да реализират икономическа печалба, като тяхната цел е да предлагат образователна услуга срещу възнаграждение (икономическа дейност). Това становище на Съда е намерило отражение в разпоредбата на т.</w:t>
      </w:r>
      <w:r w:rsidR="001E3998">
        <w:t xml:space="preserve"> </w:t>
      </w:r>
      <w:r w:rsidRPr="00060D24">
        <w:t>30 от Известие на Комисията относно понятието за държавна помощ, посочено в чл. 107, параграф 1 от Договора за функционирането на Европейския съюз (Известието).</w:t>
      </w:r>
    </w:p>
    <w:p w14:paraId="392D235D"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т. 30 от Известието, когато преимуществената част от оперативните разходи на дадена образователна институция се финансира от частни средства, в т.ч. от такси, заплащани от учениците или техните родители, Съдът приема, че тези образователни институции действат като предприятия, тъй като целта им е да предлагат услуги срещу заплащане.  </w:t>
      </w:r>
    </w:p>
    <w:p w14:paraId="13B28C3E" w14:textId="77777777" w:rsidR="00AE4017" w:rsidRPr="00FC361F"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lang w:val="en-US"/>
        </w:rPr>
      </w:pPr>
      <w:r w:rsidRPr="00060D24">
        <w:rPr>
          <w:b/>
          <w:bCs/>
          <w:szCs w:val="22"/>
          <w:lang w:eastAsia="en-US"/>
        </w:rPr>
        <w:lastRenderedPageBreak/>
        <w:t xml:space="preserve">Частните училища </w:t>
      </w:r>
      <w:r w:rsidRPr="00060D24">
        <w:rPr>
          <w:szCs w:val="22"/>
          <w:lang w:eastAsia="en-US"/>
        </w:rPr>
        <w:t xml:space="preserve">– допустими кандидати или партньори,  съгласно чл. 40 (1) от ЗПУО са търговски дружества, ЮЛНЦ или кооперации, които по реда на ал. 2 осъществяват дейността си като образователни институции в системата на образованието след вписване в регистъра на институциите в системата на предучилищното и училищното образование при условията и по реда на този закон. Съгласно ЗПУО и Наредбата за финансиране на институциите в системата на предучилищното и училищното образование частните училища получават средства от държавния бюджет по реда на чл. 283, ал. 3 от ЗПУО за подпомагане на равния достъп и подкрепата за личностно развитие  - чл. 283, ал. 1, т. 1, 3 и 9 от ЗПУО, както и средствата по чл. 283, ал. 1, т. 6 от ЗПУО в частта им за изпълнение на дейностите за ресурсно подпомагане на деца и ученици със специални образователни потребности. </w:t>
      </w:r>
      <w:r w:rsidRPr="00060D24">
        <w:rPr>
          <w:rFonts w:eastAsia="Calibri"/>
        </w:rPr>
        <w:t>В същото време, с</w:t>
      </w:r>
      <w:r w:rsidRPr="00060D24">
        <w:rPr>
          <w:szCs w:val="22"/>
          <w:lang w:eastAsia="en-US"/>
        </w:rPr>
        <w:t>ъгласно чл. 52 ал. 3 от ЗПУО частните институции в системата на предучилищното и училищното образование се финансират при условията и по реда на закона, по който са учредени</w:t>
      </w:r>
      <w:r w:rsidRPr="00060D24">
        <w:rPr>
          <w:rFonts w:eastAsia="Calibri"/>
        </w:rPr>
        <w:t xml:space="preserve"> и събират средства от родителите на учениците под формата на такси и други плащания за дейности, извън финансираните от държавния бюджет. </w:t>
      </w:r>
      <w:r w:rsidRPr="00060D24">
        <w:rPr>
          <w:szCs w:val="22"/>
          <w:lang w:eastAsia="en-US"/>
        </w:rPr>
        <w:t xml:space="preserve">Дейностите на частните училища в рамките на предлаганата от тях образователна услуга, финансирани от държавния бюджет като дейности, обект на държавна политика, попадат в приложното поле на т. 28 – 29 от Известието на Комисията относно понятието за държавна помощ, посочено в чл. 107, параграф 1 от ДФЕС, могат да се считат за нестопански. От друга страна, </w:t>
      </w:r>
      <w:r w:rsidRPr="00060D24">
        <w:rPr>
          <w:b/>
          <w:bCs/>
          <w:szCs w:val="22"/>
          <w:lang w:eastAsia="en-US"/>
        </w:rPr>
        <w:t>дейности в рамките на предлаганата от тях образователна услуга, които се финансират от родителите чрез такси и други, поради наличие на пазар на частни училища, са стопански дейности, които попадат в приложното поле на т. 30 от Известието на Комисията.</w:t>
      </w:r>
      <w:r w:rsidRPr="00060D24">
        <w:rPr>
          <w:szCs w:val="22"/>
          <w:lang w:eastAsia="en-US"/>
        </w:rPr>
        <w:t xml:space="preserve"> </w:t>
      </w:r>
      <w:r w:rsidRPr="00060D24">
        <w:rPr>
          <w:b/>
          <w:bCs/>
          <w:szCs w:val="22"/>
          <w:lang w:eastAsia="en-US"/>
        </w:rPr>
        <w:t>За стопанските си дейности частните училища се считат за предприятия</w:t>
      </w:r>
      <w:r w:rsidRPr="00060D24">
        <w:rPr>
          <w:szCs w:val="22"/>
          <w:lang w:eastAsia="en-US"/>
        </w:rPr>
        <w:t xml:space="preserve"> по смисъла на чл.107, §1 от ДФЕС, т.к. един и същи правен субект може да се разглежда като предприятие само за стопанските дейности, които извършва. </w:t>
      </w:r>
      <w:r w:rsidRPr="00060D24">
        <w:rPr>
          <w:rFonts w:eastAsia="Calibri"/>
        </w:rPr>
        <w:t xml:space="preserve">От приложимата нормативна уредба е видно, че частните училища осъществяват както нестопанска дейност, която е в рамките на общественото образование по смисъла на т. 28-29 от Известието и е обект на държавна политика и контрол от страна на държавата, така и стопанска дейност, чрез събираните от родителите такси за нефинансираните от държавата дейности. В тази връзка </w:t>
      </w:r>
      <w:r w:rsidR="009B5CC2">
        <w:rPr>
          <w:rFonts w:eastAsia="Calibri"/>
        </w:rPr>
        <w:t xml:space="preserve">дейностите по процедурата за </w:t>
      </w:r>
      <w:r w:rsidRPr="00060D24">
        <w:rPr>
          <w:rFonts w:eastAsia="Calibri"/>
        </w:rPr>
        <w:t>частните училища</w:t>
      </w:r>
      <w:r w:rsidR="009B5CC2">
        <w:rPr>
          <w:rFonts w:eastAsia="Calibri"/>
        </w:rPr>
        <w:t xml:space="preserve"> следва да се считат за стопански дейности.</w:t>
      </w:r>
      <w:r w:rsidRPr="00060D24">
        <w:rPr>
          <w:rFonts w:eastAsia="Calibri"/>
        </w:rPr>
        <w:t xml:space="preserve"> </w:t>
      </w:r>
      <w:r w:rsidR="009B5CC2">
        <w:rPr>
          <w:rFonts w:eastAsia="Calibri"/>
        </w:rPr>
        <w:t>З</w:t>
      </w:r>
      <w:r w:rsidRPr="00060D24">
        <w:rPr>
          <w:rFonts w:eastAsia="Calibri"/>
        </w:rPr>
        <w:t>а да прилагат режим непомощ</w:t>
      </w:r>
      <w:r w:rsidR="009B5CC2">
        <w:rPr>
          <w:rFonts w:eastAsia="Calibri"/>
        </w:rPr>
        <w:t xml:space="preserve"> </w:t>
      </w:r>
      <w:r w:rsidRPr="00060D24">
        <w:rPr>
          <w:rFonts w:eastAsia="Calibri"/>
        </w:rPr>
        <w:t xml:space="preserve">по процедурата </w:t>
      </w:r>
      <w:r w:rsidR="009B5CC2">
        <w:rPr>
          <w:rFonts w:eastAsia="Calibri"/>
        </w:rPr>
        <w:t>частните училища</w:t>
      </w:r>
      <w:r w:rsidR="009B5CC2" w:rsidRPr="00060D24">
        <w:rPr>
          <w:rFonts w:eastAsia="Calibri"/>
        </w:rPr>
        <w:t xml:space="preserve"> </w:t>
      </w:r>
      <w:r w:rsidRPr="00060D24">
        <w:rPr>
          <w:rFonts w:eastAsia="Calibri"/>
        </w:rPr>
        <w:t xml:space="preserve">следва да избират изпълнители за планираните от тях дейностите по процедурата чрез открита, публична и прозрачна процедура по смисъла на т.89-96 от Известие на Комисията. Когато частните училища изпълняват дейности по процедурата, за които не прилагат открити, прозрачни и публични процедури за изпълнители, то разходите за тези дейности се считат за минимална помощ. </w:t>
      </w:r>
      <w:r w:rsidR="009B5CC2">
        <w:rPr>
          <w:rFonts w:eastAsia="Calibri"/>
        </w:rPr>
        <w:t>Разходите за възнаграждения на назначените в частните училища педагогически специалисти и непедагогически персонал се</w:t>
      </w:r>
      <w:r w:rsidR="00FC361F">
        <w:rPr>
          <w:rFonts w:eastAsia="Calibri"/>
        </w:rPr>
        <w:t xml:space="preserve"> предоставят в режим на минимална помощ.</w:t>
      </w:r>
    </w:p>
    <w:p w14:paraId="43BAD7C0"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060D24">
        <w:rPr>
          <w:rFonts w:eastAsia="Calibri"/>
          <w:b/>
          <w:bCs/>
        </w:rPr>
        <w:t xml:space="preserve">ЮЛНЦ </w:t>
      </w:r>
      <w:r w:rsidRPr="00060D24">
        <w:rPr>
          <w:rFonts w:eastAsia="Calibri"/>
        </w:rPr>
        <w:t>се считат за предприятия, независимо от правния им статут, по смисъла на и за целите на чл. 107, параграф 1 от ДФЕС, тъй като не са публични органи и не са субекти от националната образователна система съгласно приложимото законодателство, не са преимуществено финансирани и контролирани от държавата. ЮЛНЦ се създават, финансират и контролират по реда на ЗЮЛНЦ, действат от свое име, за своя сметка и по своя инициатива. Допустимите дейности по операцията може да се изпълняват и от други субекти (извън образователните институции</w:t>
      </w:r>
      <w:r w:rsidR="00BB79B4">
        <w:rPr>
          <w:rFonts w:eastAsia="Calibri"/>
        </w:rPr>
        <w:t>, община, РУО</w:t>
      </w:r>
      <w:r w:rsidRPr="00060D24">
        <w:rPr>
          <w:rFonts w:eastAsia="Calibri"/>
        </w:rPr>
        <w:t>) като ЮЛНЦ, фирми, което доказва наличие на пазар и определя ЮЛНЦ като предприятие по смисъла на Известието и чл. 107, §1 от ДФЕС. Когато ЮЛНЦ, прилагат открити, прозрачни и публични процедури по смисъла на т.</w:t>
      </w:r>
      <w:r w:rsidR="001E3998">
        <w:rPr>
          <w:rFonts w:eastAsia="Calibri"/>
        </w:rPr>
        <w:t xml:space="preserve"> </w:t>
      </w:r>
      <w:r w:rsidRPr="00060D24">
        <w:rPr>
          <w:rFonts w:eastAsia="Calibri"/>
        </w:rPr>
        <w:t>89-96 от Известието на Ком</w:t>
      </w:r>
      <w:r w:rsidR="006468E1">
        <w:rPr>
          <w:rFonts w:eastAsia="Calibri"/>
        </w:rPr>
        <w:t>и</w:t>
      </w:r>
      <w:r w:rsidRPr="00060D24">
        <w:rPr>
          <w:rFonts w:eastAsia="Calibri"/>
        </w:rPr>
        <w:t xml:space="preserve">сията за определяне </w:t>
      </w:r>
      <w:r w:rsidRPr="00060D24">
        <w:rPr>
          <w:rFonts w:eastAsia="Calibri"/>
        </w:rPr>
        <w:lastRenderedPageBreak/>
        <w:t xml:space="preserve">на изпълнител за реализиране на дейности по проекта, то разходите за тях се считат в режим </w:t>
      </w:r>
      <w:r w:rsidR="001E3998">
        <w:rPr>
          <w:rFonts w:eastAsia="Calibri"/>
        </w:rPr>
        <w:t>„</w:t>
      </w:r>
      <w:r w:rsidRPr="00060D24">
        <w:rPr>
          <w:rFonts w:eastAsia="Calibri"/>
        </w:rPr>
        <w:t>непомощ</w:t>
      </w:r>
      <w:r w:rsidR="001E3998">
        <w:rPr>
          <w:rFonts w:eastAsia="Calibri"/>
        </w:rPr>
        <w:t>“</w:t>
      </w:r>
      <w:r w:rsidRPr="00060D24">
        <w:rPr>
          <w:rFonts w:eastAsia="Calibri"/>
        </w:rPr>
        <w:t xml:space="preserve"> съгласно анализа за всяка от допустимите дейности по-</w:t>
      </w:r>
      <w:r w:rsidR="00BB5D98">
        <w:rPr>
          <w:rFonts w:eastAsia="Calibri"/>
        </w:rPr>
        <w:t>долу</w:t>
      </w:r>
      <w:r w:rsidRPr="00060D24">
        <w:rPr>
          <w:rFonts w:eastAsia="Calibri"/>
        </w:rPr>
        <w:t xml:space="preserve">. </w:t>
      </w:r>
    </w:p>
    <w:p w14:paraId="71F3C78D"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060D24">
        <w:rPr>
          <w:rFonts w:eastAsia="Calibri"/>
        </w:rPr>
        <w:t>Крайните получатели (</w:t>
      </w:r>
      <w:r w:rsidR="00BB79B4" w:rsidRPr="00060D24">
        <w:rPr>
          <w:rFonts w:eastAsia="Calibri"/>
        </w:rPr>
        <w:t>целев</w:t>
      </w:r>
      <w:r w:rsidR="00BB79B4">
        <w:rPr>
          <w:rFonts w:eastAsia="Calibri"/>
        </w:rPr>
        <w:t>ите</w:t>
      </w:r>
      <w:r w:rsidR="00BB79B4" w:rsidRPr="00060D24">
        <w:rPr>
          <w:rFonts w:eastAsia="Calibri"/>
        </w:rPr>
        <w:t xml:space="preserve"> груп</w:t>
      </w:r>
      <w:r w:rsidR="00BB79B4">
        <w:rPr>
          <w:rFonts w:eastAsia="Calibri"/>
        </w:rPr>
        <w:t>и</w:t>
      </w:r>
      <w:r w:rsidRPr="00060D24">
        <w:rPr>
          <w:rFonts w:eastAsia="Calibri"/>
        </w:rPr>
        <w:t>) по процедурата са деца и ученици, родителите им и педагогически специалисти</w:t>
      </w:r>
      <w:r w:rsidR="00BB79B4">
        <w:rPr>
          <w:rFonts w:eastAsia="Calibri"/>
        </w:rPr>
        <w:t xml:space="preserve">, </w:t>
      </w:r>
      <w:r w:rsidRPr="00060D24">
        <w:rPr>
          <w:rFonts w:eastAsia="Calibri"/>
        </w:rPr>
        <w:t>непедагогически персонал</w:t>
      </w:r>
      <w:r w:rsidR="00BB79B4">
        <w:rPr>
          <w:rFonts w:eastAsia="Calibri"/>
        </w:rPr>
        <w:t xml:space="preserve">, </w:t>
      </w:r>
      <w:r w:rsidR="00BB79B4" w:rsidRPr="00BB79B4">
        <w:rPr>
          <w:rFonts w:eastAsia="Calibri"/>
        </w:rPr>
        <w:t>вкл. служители в общинската и училищната администрация, представители на Общински съвети и РУО</w:t>
      </w:r>
      <w:r w:rsidRPr="00060D24">
        <w:rPr>
          <w:rFonts w:eastAsia="Calibri"/>
        </w:rPr>
        <w:t xml:space="preserve">. Същите не са стопански субекти, не попадат в обхвата на определението за „предприятие“ по т. 7 от Известието на Комисията и съответно дейностите, които ще се осъществяват по процедурата, са изцяло насочени към </w:t>
      </w:r>
      <w:r w:rsidR="00BB79B4" w:rsidRPr="00BB79B4">
        <w:rPr>
          <w:rFonts w:eastAsia="Calibri"/>
        </w:rPr>
        <w:t>са изцяло насочени към подкрепа на десегрегацията в училищата в общината</w:t>
      </w:r>
      <w:r w:rsidR="00BB79B4">
        <w:rPr>
          <w:rFonts w:eastAsia="Calibri"/>
        </w:rPr>
        <w:t xml:space="preserve"> </w:t>
      </w:r>
      <w:r w:rsidRPr="00060D24">
        <w:rPr>
          <w:rFonts w:eastAsia="Calibri"/>
        </w:rPr>
        <w:t>чрез различни форми, средства и подходи.</w:t>
      </w:r>
    </w:p>
    <w:p w14:paraId="303B4E28"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060D24">
        <w:rPr>
          <w:rFonts w:eastAsia="Calibri"/>
        </w:rPr>
        <w:t>Съгласно прегледа на нормативната уредба в сферата на държавните помощи по смисъла на чл. 107, §1 от ДФЕС и анализа на дейностите по настоящата процедура, режим на „непомощ“ се прилага за кандидати/партньори: държавни и общински, училища,</w:t>
      </w:r>
      <w:r w:rsidR="00BB79B4">
        <w:rPr>
          <w:rFonts w:eastAsia="Calibri"/>
        </w:rPr>
        <w:t xml:space="preserve"> както и за</w:t>
      </w:r>
      <w:r w:rsidRPr="00060D24">
        <w:rPr>
          <w:rFonts w:eastAsia="Calibri"/>
        </w:rPr>
        <w:t xml:space="preserve"> </w:t>
      </w:r>
      <w:r w:rsidR="00BB79B4">
        <w:rPr>
          <w:rFonts w:eastAsia="Calibri"/>
        </w:rPr>
        <w:t>РУО</w:t>
      </w:r>
      <w:r w:rsidRPr="00060D24">
        <w:rPr>
          <w:rFonts w:eastAsia="Calibri"/>
        </w:rPr>
        <w:t>, и общините, в рамките на функциите им на публични органи, изпълняващи държавна политика в сферата на образова</w:t>
      </w:r>
      <w:r w:rsidR="00AD082F" w:rsidRPr="00060D24">
        <w:rPr>
          <w:rFonts w:eastAsia="Calibri"/>
        </w:rPr>
        <w:t>н</w:t>
      </w:r>
      <w:r w:rsidRPr="00060D24">
        <w:rPr>
          <w:rFonts w:eastAsia="Calibri"/>
        </w:rPr>
        <w:t>ието по реда на ЗПУО и приложимите наредби, за допустимите за тях дейности, които може да се считат за нестопански дейности съгласно правната рамка за държавна помощ и образование, включително дерогациите от Известието на Комисията.</w:t>
      </w:r>
      <w:r w:rsidR="00BB79B4">
        <w:rPr>
          <w:rFonts w:eastAsia="Calibri"/>
        </w:rPr>
        <w:t xml:space="preserve"> </w:t>
      </w:r>
    </w:p>
    <w:p w14:paraId="6E321797"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060D24">
        <w:rPr>
          <w:rFonts w:eastAsia="Calibri"/>
        </w:rPr>
        <w:t xml:space="preserve">Когато допустимите кандидати/партньори – частни образователни институции, ЮЛНЦ, прилагат открити, прозрачни и публични процедури </w:t>
      </w:r>
      <w:r w:rsidR="00A947EB">
        <w:rPr>
          <w:rFonts w:eastAsia="Calibri"/>
        </w:rPr>
        <w:t xml:space="preserve">по </w:t>
      </w:r>
      <w:r w:rsidRPr="00060D24">
        <w:rPr>
          <w:rFonts w:eastAsia="Calibri"/>
        </w:rPr>
        <w:t>смисъла на т.</w:t>
      </w:r>
      <w:r w:rsidR="00CB30B2">
        <w:rPr>
          <w:rFonts w:eastAsia="Calibri"/>
        </w:rPr>
        <w:t xml:space="preserve"> </w:t>
      </w:r>
      <w:r w:rsidRPr="00060D24">
        <w:rPr>
          <w:rFonts w:eastAsia="Calibri"/>
        </w:rPr>
        <w:t xml:space="preserve">89-96 от Известието на Комисията и Глава IV от ЗУСЕФСУ, за избраните от тях допустими дейности, разходите за тези дейности се реализират в режим </w:t>
      </w:r>
      <w:r w:rsidR="00876814">
        <w:rPr>
          <w:rFonts w:eastAsia="Calibri"/>
        </w:rPr>
        <w:t>„</w:t>
      </w:r>
      <w:r w:rsidRPr="00060D24">
        <w:rPr>
          <w:rFonts w:eastAsia="Calibri"/>
        </w:rPr>
        <w:t>непомощ</w:t>
      </w:r>
      <w:r w:rsidR="00876814">
        <w:rPr>
          <w:rFonts w:eastAsia="Calibri"/>
        </w:rPr>
        <w:t>“</w:t>
      </w:r>
      <w:r w:rsidR="00A947EB">
        <w:rPr>
          <w:rFonts w:eastAsia="Calibri"/>
        </w:rPr>
        <w:t>.</w:t>
      </w:r>
    </w:p>
    <w:p w14:paraId="12BFEB80"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rPr>
          <w:rFonts w:eastAsia="Calibri"/>
        </w:rPr>
      </w:pPr>
      <w:r w:rsidRPr="00060D24">
        <w:rPr>
          <w:rFonts w:eastAsia="Calibri"/>
          <w:b/>
          <w:bCs/>
        </w:rPr>
        <w:t>ВАЖНО!!!</w:t>
      </w:r>
      <w:r w:rsidRPr="00060D24">
        <w:rPr>
          <w:rFonts w:eastAsia="Calibri"/>
        </w:rPr>
        <w:t xml:space="preserve"> Когато частно училище и/или ЮЛНЦ - допустим кандидат/партньор изпълнява икономически за него дейности, за които залага разходи в режим </w:t>
      </w:r>
      <w:r w:rsidR="00484730">
        <w:rPr>
          <w:rFonts w:eastAsia="Calibri"/>
        </w:rPr>
        <w:t>„</w:t>
      </w:r>
      <w:r w:rsidRPr="00060D24">
        <w:rPr>
          <w:rFonts w:eastAsia="Calibri"/>
        </w:rPr>
        <w:t>непомощ</w:t>
      </w:r>
      <w:r w:rsidR="00484730">
        <w:rPr>
          <w:rFonts w:eastAsia="Calibri"/>
        </w:rPr>
        <w:t>“</w:t>
      </w:r>
      <w:r w:rsidRPr="00060D24">
        <w:rPr>
          <w:rFonts w:eastAsia="Calibri"/>
        </w:rPr>
        <w:t xml:space="preserve">, същият декларира, че ще извършва дейностите като прилага открити, прозрачни и публични процедури по </w:t>
      </w:r>
      <w:bookmarkStart w:id="1" w:name="_Hlk150511538"/>
      <w:r w:rsidRPr="00060D24">
        <w:rPr>
          <w:rFonts w:eastAsia="Calibri"/>
        </w:rPr>
        <w:t>смисъла на т.</w:t>
      </w:r>
      <w:r w:rsidR="00484730">
        <w:rPr>
          <w:rFonts w:eastAsia="Calibri"/>
        </w:rPr>
        <w:t xml:space="preserve"> </w:t>
      </w:r>
      <w:r w:rsidRPr="00060D24">
        <w:rPr>
          <w:rFonts w:eastAsia="Calibri"/>
        </w:rPr>
        <w:t xml:space="preserve">89-96 от Известието на Комисията и Глава </w:t>
      </w:r>
      <w:r w:rsidRPr="00060D24">
        <w:rPr>
          <w:rFonts w:eastAsia="Calibri"/>
          <w:lang w:val="en-US"/>
        </w:rPr>
        <w:t xml:space="preserve">IV </w:t>
      </w:r>
      <w:r w:rsidRPr="00060D24">
        <w:rPr>
          <w:rFonts w:eastAsia="Calibri"/>
        </w:rPr>
        <w:t>от ЗУСЕФСУ</w:t>
      </w:r>
      <w:bookmarkEnd w:id="1"/>
      <w:r w:rsidRPr="00060D24">
        <w:rPr>
          <w:rFonts w:eastAsia="Calibri"/>
        </w:rPr>
        <w:t>. На етапа на кандидатстване тези кандидати/партнь</w:t>
      </w:r>
      <w:r w:rsidRPr="00060D24">
        <w:rPr>
          <w:rFonts w:eastAsia="Calibri"/>
          <w:lang w:val="en-US"/>
        </w:rPr>
        <w:t>o</w:t>
      </w:r>
      <w:r w:rsidRPr="00060D24">
        <w:rPr>
          <w:rFonts w:eastAsia="Calibri"/>
        </w:rPr>
        <w:t>ри декларират</w:t>
      </w:r>
      <w:r w:rsidRPr="00060D24">
        <w:rPr>
          <w:rFonts w:eastAsia="Calibri"/>
          <w:lang w:val="en-US"/>
        </w:rPr>
        <w:t xml:space="preserve"> в </w:t>
      </w:r>
      <w:r w:rsidRPr="00BE00B8">
        <w:rPr>
          <w:rFonts w:eastAsia="Calibri"/>
        </w:rPr>
        <w:t>Декларацията за партньорство – Приложение</w:t>
      </w:r>
      <w:r w:rsidR="00BB79B4">
        <w:rPr>
          <w:rFonts w:eastAsia="Calibri"/>
        </w:rPr>
        <w:t xml:space="preserve"> </w:t>
      </w:r>
      <w:r w:rsidR="00D206ED">
        <w:rPr>
          <w:rFonts w:eastAsia="Calibri"/>
          <w:lang w:val="en-US"/>
        </w:rPr>
        <w:t>IV</w:t>
      </w:r>
      <w:r w:rsidR="00D206ED" w:rsidRPr="00060D24">
        <w:rPr>
          <w:rFonts w:eastAsia="Calibri"/>
          <w:lang w:val="en-US"/>
        </w:rPr>
        <w:t xml:space="preserve"> </w:t>
      </w:r>
      <w:r w:rsidRPr="00060D24">
        <w:rPr>
          <w:rFonts w:eastAsia="Calibri"/>
        </w:rPr>
        <w:t>и</w:t>
      </w:r>
      <w:r w:rsidRPr="00060D24">
        <w:rPr>
          <w:rFonts w:ascii="Calibri" w:eastAsia="Calibri" w:hAnsi="Calibri"/>
          <w:sz w:val="22"/>
          <w:szCs w:val="22"/>
          <w:lang w:eastAsia="en-US"/>
        </w:rPr>
        <w:t xml:space="preserve"> </w:t>
      </w:r>
      <w:r w:rsidRPr="00060D24">
        <w:rPr>
          <w:rFonts w:eastAsia="Calibri"/>
        </w:rPr>
        <w:t>в Споразумението за партньорство – Приложение</w:t>
      </w:r>
      <w:r w:rsidR="005635CC">
        <w:rPr>
          <w:rFonts w:eastAsia="Calibri"/>
          <w:lang w:val="en-US"/>
        </w:rPr>
        <w:t xml:space="preserve"> XX</w:t>
      </w:r>
      <w:r w:rsidR="005635CC" w:rsidRPr="00060D24">
        <w:rPr>
          <w:rFonts w:eastAsia="Calibri"/>
        </w:rPr>
        <w:t xml:space="preserve"> </w:t>
      </w:r>
      <w:r w:rsidRPr="00060D24">
        <w:rPr>
          <w:rFonts w:eastAsia="Calibri"/>
        </w:rPr>
        <w:t xml:space="preserve">на етапа на договаряне, че ще провеждат  открити, прозрачни и публични процедури за избор на изпълнител, които УО проверява на етапа на изпълнение и при всяко искане за плащане. </w:t>
      </w:r>
    </w:p>
    <w:p w14:paraId="67BA59DA"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p>
    <w:p w14:paraId="7315DD8E" w14:textId="77777777" w:rsidR="00AE4017" w:rsidRPr="00060D24" w:rsidRDefault="00AE4017" w:rsidP="00AE4017">
      <w:pPr>
        <w:spacing w:line="360" w:lineRule="auto"/>
        <w:ind w:left="720"/>
        <w:jc w:val="both"/>
      </w:pPr>
    </w:p>
    <w:p w14:paraId="28E176DD" w14:textId="77777777" w:rsidR="00AE4017" w:rsidRPr="00060D24" w:rsidRDefault="00AE4017" w:rsidP="00AE4017">
      <w:pPr>
        <w:numPr>
          <w:ilvl w:val="0"/>
          <w:numId w:val="8"/>
        </w:numPr>
        <w:spacing w:line="360" w:lineRule="auto"/>
        <w:jc w:val="both"/>
        <w:rPr>
          <w:u w:val="single"/>
        </w:rPr>
      </w:pPr>
      <w:r w:rsidRPr="00060D24">
        <w:rPr>
          <w:u w:val="single"/>
        </w:rPr>
        <w:t>Анализ на допустимите дейности</w:t>
      </w:r>
    </w:p>
    <w:p w14:paraId="6C99D3E0" w14:textId="77777777" w:rsidR="00AE4017" w:rsidRPr="00060D24"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t xml:space="preserve">Анализът на </w:t>
      </w:r>
      <w:r w:rsidR="00381E73">
        <w:t xml:space="preserve">различните форми и средства по </w:t>
      </w:r>
      <w:r w:rsidRPr="00060D24">
        <w:rPr>
          <w:b/>
          <w:bCs/>
        </w:rPr>
        <w:t>Дейност 1</w:t>
      </w:r>
      <w:r w:rsidRPr="00060D24">
        <w:t xml:space="preserve"> </w:t>
      </w:r>
      <w:r w:rsidR="00381E73">
        <w:t>на</w:t>
      </w:r>
      <w:r w:rsidR="00381E73" w:rsidRPr="00060D24">
        <w:t xml:space="preserve"> </w:t>
      </w:r>
      <w:r w:rsidRPr="00060D24">
        <w:t xml:space="preserve">процедурата показва, че са </w:t>
      </w:r>
      <w:r w:rsidR="00381E73">
        <w:t xml:space="preserve">сред </w:t>
      </w:r>
      <w:r w:rsidRPr="00060D24">
        <w:t>дейности за обща подкрепа за личностно развитие съгласно Раздел</w:t>
      </w:r>
      <w:r w:rsidRPr="00060D24">
        <w:rPr>
          <w:lang w:val="en-US"/>
        </w:rPr>
        <w:t xml:space="preserve"> II. </w:t>
      </w:r>
      <w:r w:rsidRPr="00060D24">
        <w:t xml:space="preserve">Подкрепа за личностно развитие на децата и учениците от Глава </w:t>
      </w:r>
      <w:r w:rsidRPr="00060D24">
        <w:rPr>
          <w:lang w:val="en-US"/>
        </w:rPr>
        <w:t xml:space="preserve">IX </w:t>
      </w:r>
      <w:r w:rsidRPr="00060D24">
        <w:t>Деца и ученици на Закона за предучилищно и училищно образование (ЗПУО), Наредба за приобщаващото образование, която е Държавния образователен стандарт за приобщаващото образование съгласно чл.</w:t>
      </w:r>
      <w:r w:rsidR="00CB30B2">
        <w:t xml:space="preserve"> </w:t>
      </w:r>
      <w:r w:rsidRPr="00060D24">
        <w:t>22, ал.</w:t>
      </w:r>
      <w:r w:rsidR="00CB30B2">
        <w:t xml:space="preserve"> </w:t>
      </w:r>
      <w:r w:rsidRPr="00060D24">
        <w:t>2, т.</w:t>
      </w:r>
      <w:r w:rsidR="00CB30B2">
        <w:t xml:space="preserve"> </w:t>
      </w:r>
      <w:r w:rsidRPr="00060D24">
        <w:t>7 от ЗПУО</w:t>
      </w:r>
      <w:r w:rsidR="00C66012">
        <w:t xml:space="preserve"> и</w:t>
      </w:r>
      <w:r w:rsidR="004A3DF9">
        <w:t>/или</w:t>
      </w:r>
      <w:r w:rsidR="00C66012">
        <w:t xml:space="preserve"> попадат в обхвата на функциите на кандидати/партньори като общини, РУО по реда на други приложими разпоредби – Закон за местното самоуправление и местната администрация и Правилник за устройството и функциите на Регионалните управления  на образованието.</w:t>
      </w:r>
    </w:p>
    <w:p w14:paraId="64621F2D" w14:textId="77777777" w:rsidR="00D32117" w:rsidRDefault="00AE4017" w:rsidP="00AE4017">
      <w:pPr>
        <w:pBdr>
          <w:top w:val="single" w:sz="4" w:space="1" w:color="auto"/>
          <w:left w:val="single" w:sz="4" w:space="13" w:color="auto"/>
          <w:bottom w:val="single" w:sz="4" w:space="1" w:color="auto"/>
          <w:right w:val="single" w:sz="4" w:space="4" w:color="auto"/>
        </w:pBdr>
        <w:spacing w:before="120"/>
        <w:jc w:val="both"/>
      </w:pPr>
      <w:r w:rsidRPr="00060D24">
        <w:rPr>
          <w:b/>
          <w:bCs/>
        </w:rPr>
        <w:t>Дейност 1</w:t>
      </w:r>
      <w:r w:rsidRPr="00060D24">
        <w:t xml:space="preserve"> се реализира чрез</w:t>
      </w:r>
      <w:r w:rsidR="00952CD9" w:rsidRPr="00952CD9">
        <w:t xml:space="preserve"> форми и средства:</w:t>
      </w:r>
    </w:p>
    <w:p w14:paraId="2352E348" w14:textId="77777777" w:rsidR="00D32117" w:rsidRDefault="00952CD9" w:rsidP="00AE4017">
      <w:pPr>
        <w:pBdr>
          <w:top w:val="single" w:sz="4" w:space="1" w:color="auto"/>
          <w:left w:val="single" w:sz="4" w:space="13" w:color="auto"/>
          <w:bottom w:val="single" w:sz="4" w:space="1" w:color="auto"/>
          <w:right w:val="single" w:sz="4" w:space="4" w:color="auto"/>
        </w:pBdr>
        <w:spacing w:before="120"/>
        <w:jc w:val="both"/>
      </w:pPr>
      <w:r w:rsidRPr="00952CD9">
        <w:t xml:space="preserve">- за взаимен консултативен процес на местните и училищни общности в квартала/района като провеждане на съвместни сбирки (поне веднъж годишно), микрорефендуми (за </w:t>
      </w:r>
      <w:r w:rsidRPr="00952CD9">
        <w:lastRenderedPageBreak/>
        <w:t xml:space="preserve">развитие на училището и обсъждане на училищни програми за десегрегация и предотвратяване на вторичната сегрегация в класната стая, както и за сигурност в квартала/района), информационни кампании/събития </w:t>
      </w:r>
      <w:r w:rsidR="00E40BAF" w:rsidRPr="00E40BAF">
        <w:t xml:space="preserve">с участието на лица от маргинализирани, така и от немаргинализирани групи </w:t>
      </w:r>
      <w:r w:rsidRPr="00952CD9">
        <w:t>за преодоляване на предразсъдъци и негативни обществени нагласи на училищно и общинско ниво, вкл. изграждане на доверие</w:t>
      </w:r>
      <w:r>
        <w:t>.</w:t>
      </w:r>
    </w:p>
    <w:p w14:paraId="3DE60425" w14:textId="77777777" w:rsidR="003600A3" w:rsidRDefault="003600A3" w:rsidP="003600A3">
      <w:pPr>
        <w:pBdr>
          <w:top w:val="single" w:sz="4" w:space="1" w:color="auto"/>
          <w:left w:val="single" w:sz="4" w:space="13" w:color="auto"/>
          <w:bottom w:val="single" w:sz="4" w:space="1" w:color="auto"/>
          <w:right w:val="single" w:sz="4" w:space="4" w:color="auto"/>
        </w:pBdr>
        <w:spacing w:before="120"/>
        <w:jc w:val="both"/>
      </w:pPr>
      <w:r>
        <w:t>- за проучване на нагласите на ученици, учители, педагогически специалисти, медиатори, социални работници, родители, местна и училищна администрация, живущите в кварталите/районите на училища с висока</w:t>
      </w:r>
      <w:r w:rsidR="00C85182">
        <w:t>, с по-</w:t>
      </w:r>
      <w:r>
        <w:t>ниска или без концентрация на уязвими групи, НПО и други заинтересовани страни с оглед развитие на образованието в общината в контекста на образователната десегрегация;</w:t>
      </w:r>
    </w:p>
    <w:p w14:paraId="3C39C1C1" w14:textId="77777777" w:rsidR="00952CD9" w:rsidRDefault="003600A3" w:rsidP="003600A3">
      <w:pPr>
        <w:pBdr>
          <w:top w:val="single" w:sz="4" w:space="1" w:color="auto"/>
          <w:left w:val="single" w:sz="4" w:space="13" w:color="auto"/>
          <w:bottom w:val="single" w:sz="4" w:space="1" w:color="auto"/>
          <w:right w:val="single" w:sz="4" w:space="4" w:color="auto"/>
        </w:pBdr>
        <w:spacing w:before="120"/>
        <w:jc w:val="both"/>
      </w:pPr>
      <w:r>
        <w:t xml:space="preserve">- за провеждане на съвместни инициативи на училищно ниво </w:t>
      </w:r>
      <w:r w:rsidR="00C85182">
        <w:t xml:space="preserve">при работата с родители </w:t>
      </w:r>
      <w:r>
        <w:t>като родителски форуми, дискусии, беседи, и други родителски инициативи с участието на родители от маргинализирани групи и такива от немаргинализрани групи за опознаване и изграждане на доверие в училищната общност; участие на родители както от маргинализирани, така и от немаргинализирани групи в организирането и провеждането на училищни събития</w:t>
      </w:r>
      <w:r w:rsidR="00C85182">
        <w:t>/тематични дни</w:t>
      </w:r>
      <w:r>
        <w:t xml:space="preserve"> и празници; участие на родители от маргинализирани общности в обществения съвет на училището.</w:t>
      </w:r>
    </w:p>
    <w:p w14:paraId="0ECAD971" w14:textId="77777777" w:rsidR="003600A3" w:rsidRDefault="003600A3" w:rsidP="003600A3">
      <w:pPr>
        <w:pBdr>
          <w:top w:val="single" w:sz="4" w:space="1" w:color="auto"/>
          <w:left w:val="single" w:sz="4" w:space="13" w:color="auto"/>
          <w:bottom w:val="single" w:sz="4" w:space="1" w:color="auto"/>
          <w:right w:val="single" w:sz="4" w:space="4" w:color="auto"/>
        </w:pBdr>
        <w:spacing w:before="120"/>
        <w:jc w:val="both"/>
      </w:pPr>
      <w:r w:rsidRPr="003600A3">
        <w:rPr>
          <w:i/>
          <w:iCs/>
        </w:rPr>
        <w:t>Тези дейности могат да се считат нестопански за държавните и общинските училища, общините и РУО, т.к. са част от „дейности, които са обект на държавна политика“ съгласно §1, т. 5 от Допълнителните разпоредби на ЗПУО и са в съответствие с т. 28 - 29 от Известието</w:t>
      </w:r>
      <w:r>
        <w:t>. За държавните и общинските училища, РУО и общините тези дейности попадат в обхвата на функциите им за приобщаващото образование по реда на приложимата нормативна уредба: съгласно чл. 1, ал. 2, чл.</w:t>
      </w:r>
      <w:r w:rsidR="003A0608">
        <w:t xml:space="preserve"> </w:t>
      </w:r>
      <w:r>
        <w:t>3  и чл.</w:t>
      </w:r>
      <w:r w:rsidR="003A0608">
        <w:t xml:space="preserve"> </w:t>
      </w:r>
      <w:r>
        <w:t>5 от Наредба за приобщаващото образование – Държавния образователен стандарт по реда на чл.</w:t>
      </w:r>
      <w:r w:rsidR="003A0608">
        <w:t xml:space="preserve"> </w:t>
      </w:r>
      <w:r>
        <w:t>22, ал.</w:t>
      </w:r>
      <w:r w:rsidR="003A0608">
        <w:t xml:space="preserve"> </w:t>
      </w:r>
      <w:r>
        <w:t>2, т.</w:t>
      </w:r>
      <w:r w:rsidR="003A0608">
        <w:t xml:space="preserve"> </w:t>
      </w:r>
      <w:r>
        <w:t xml:space="preserve">7 от ЗПУО. </w:t>
      </w:r>
      <w:r w:rsidRPr="003600A3">
        <w:rPr>
          <w:b/>
          <w:bCs/>
        </w:rPr>
        <w:t>РУО</w:t>
      </w:r>
      <w:r>
        <w:t xml:space="preserve"> координират и контролират</w:t>
      </w:r>
      <w:r w:rsidRPr="003600A3">
        <w:t xml:space="preserve"> </w:t>
      </w:r>
      <w:r>
        <w:t>такива дейности съгласно чл. 9, ал.</w:t>
      </w:r>
      <w:r w:rsidR="003A0608">
        <w:t xml:space="preserve"> </w:t>
      </w:r>
      <w:r>
        <w:t>1, а по реда на чл. 13 и чл.</w:t>
      </w:r>
      <w:r w:rsidR="003A0608">
        <w:t xml:space="preserve"> </w:t>
      </w:r>
      <w:r>
        <w:t xml:space="preserve">14 от Правилник за устройството и дейността на РУО организират и координират взаимодействието с други териториални институции на държавната и местната власт, както и със заинтересовани страни като организации на </w:t>
      </w:r>
      <w:r w:rsidRPr="003600A3">
        <w:t>работниците и служителите и на работодателите</w:t>
      </w:r>
      <w:r>
        <w:t>; провеждат информационни дейности (чл.</w:t>
      </w:r>
      <w:r w:rsidR="003A0608">
        <w:t xml:space="preserve"> </w:t>
      </w:r>
      <w:r>
        <w:t>13, ал.</w:t>
      </w:r>
      <w:r w:rsidR="003A0608">
        <w:t xml:space="preserve"> </w:t>
      </w:r>
      <w:r>
        <w:t>1, т.</w:t>
      </w:r>
      <w:r w:rsidR="003A0608">
        <w:t xml:space="preserve"> </w:t>
      </w:r>
      <w:r>
        <w:t>5 от Правилника), наред с другите функции РУО методически подпомага прилагането и изпълнението на законовите и подзаконовите нормативни актове в системата на предучилищното и училищното образование, както и други нормативни и административни актове от страна на институциите в системата на предучилищното и училищното образование на територията на областта ( например по реда на чл.</w:t>
      </w:r>
      <w:r w:rsidR="006271A6">
        <w:t xml:space="preserve"> </w:t>
      </w:r>
      <w:r>
        <w:t>14, ал.</w:t>
      </w:r>
      <w:r w:rsidR="006271A6">
        <w:t xml:space="preserve"> </w:t>
      </w:r>
      <w:r>
        <w:t>1, т.</w:t>
      </w:r>
      <w:r w:rsidR="006271A6">
        <w:t xml:space="preserve"> </w:t>
      </w:r>
      <w:r>
        <w:t>1, т.</w:t>
      </w:r>
      <w:r w:rsidR="006271A6">
        <w:t xml:space="preserve"> </w:t>
      </w:r>
      <w:r>
        <w:t>2, т.</w:t>
      </w:r>
      <w:r w:rsidR="006271A6">
        <w:t xml:space="preserve"> </w:t>
      </w:r>
      <w:r>
        <w:t xml:space="preserve">9, т. 12, др. от Правилника), включително и изискванията за десегрегация по реда на чл. 99, ал.4, ал.5 и ал.6 от ЗПУО. </w:t>
      </w:r>
      <w:r w:rsidRPr="003600A3">
        <w:rPr>
          <w:b/>
          <w:bCs/>
        </w:rPr>
        <w:t>Общините</w:t>
      </w:r>
      <w:r>
        <w:t>, наред с функциите им по чл.</w:t>
      </w:r>
      <w:r w:rsidR="006271A6">
        <w:t xml:space="preserve"> </w:t>
      </w:r>
      <w:r>
        <w:t>256, чл.198 във връзка с чл.197 от ЗПУО и други</w:t>
      </w:r>
      <w:r w:rsidRPr="003600A3">
        <w:t xml:space="preserve"> </w:t>
      </w:r>
      <w:r>
        <w:t>нормативни разпоредби, изброени по-горе, организират, провеждат и координират такива дейности в рамките на функциите си на орган на местното самоуправление (по реда на чл.</w:t>
      </w:r>
      <w:r w:rsidR="006271A6">
        <w:t xml:space="preserve"> </w:t>
      </w:r>
      <w:r>
        <w:t>17, ал.</w:t>
      </w:r>
      <w:r w:rsidR="006271A6">
        <w:t xml:space="preserve"> </w:t>
      </w:r>
      <w:r>
        <w:t>1, т.</w:t>
      </w:r>
      <w:r w:rsidR="006271A6">
        <w:t xml:space="preserve"> </w:t>
      </w:r>
      <w:r>
        <w:t>3, ал.</w:t>
      </w:r>
      <w:r w:rsidR="006271A6">
        <w:t xml:space="preserve"> </w:t>
      </w:r>
      <w:r>
        <w:t>2, чл.</w:t>
      </w:r>
      <w:r w:rsidR="006271A6">
        <w:t xml:space="preserve"> </w:t>
      </w:r>
      <w:r>
        <w:t>62, т.</w:t>
      </w:r>
      <w:r w:rsidR="006271A6">
        <w:t xml:space="preserve"> </w:t>
      </w:r>
      <w:r>
        <w:t>2, буква „б“ и др. от Закона за местното самоуправление и местната администрация).</w:t>
      </w:r>
    </w:p>
    <w:p w14:paraId="17046CBD" w14:textId="77777777" w:rsidR="004A3DF9" w:rsidRDefault="004A3DF9" w:rsidP="003600A3">
      <w:pPr>
        <w:pBdr>
          <w:top w:val="single" w:sz="4" w:space="1" w:color="auto"/>
          <w:left w:val="single" w:sz="4" w:space="13" w:color="auto"/>
          <w:bottom w:val="single" w:sz="4" w:space="1" w:color="auto"/>
          <w:right w:val="single" w:sz="4" w:space="4" w:color="auto"/>
        </w:pBdr>
        <w:spacing w:before="120"/>
        <w:jc w:val="both"/>
      </w:pPr>
      <w:r w:rsidRPr="004A3DF9">
        <w:t xml:space="preserve">Следователно по Дейност 1 за педагогически специалисти и други специалисти – ръководители, лектори, модератори при различните форми на дейността се прилагат разпоредбите на ЗПУО, Наредбата за приобщаващото образование и цитираните други приложими разпоредби. Когато формите и средствата по </w:t>
      </w:r>
      <w:r w:rsidR="00BB5D98">
        <w:t>Д</w:t>
      </w:r>
      <w:r w:rsidRPr="004A3DF9">
        <w:t xml:space="preserve">ейност 1 се извършват от педагогическите специалисти от държавни и общински училища, служители по образованието на общините и на служители на РУО съгласно функциите им по ЗПУО и </w:t>
      </w:r>
      <w:r w:rsidRPr="004A3DF9">
        <w:lastRenderedPageBreak/>
        <w:t xml:space="preserve">Наредбата за приобщаващото образование и други нормативни актове, ако е приложимо, те са в режим </w:t>
      </w:r>
      <w:r w:rsidR="00BB5D98">
        <w:t>„</w:t>
      </w:r>
      <w:r w:rsidRPr="004A3DF9">
        <w:t>непомощ</w:t>
      </w:r>
      <w:r w:rsidR="00BB5D98">
        <w:t>“</w:t>
      </w:r>
      <w:r w:rsidRPr="004A3DF9">
        <w:t>.</w:t>
      </w:r>
    </w:p>
    <w:p w14:paraId="1FCC5A57" w14:textId="77777777" w:rsidR="001733B5" w:rsidRDefault="003600A3" w:rsidP="003600A3">
      <w:pPr>
        <w:pBdr>
          <w:top w:val="single" w:sz="4" w:space="1" w:color="auto"/>
          <w:left w:val="single" w:sz="4" w:space="13" w:color="auto"/>
          <w:bottom w:val="single" w:sz="4" w:space="1" w:color="auto"/>
          <w:right w:val="single" w:sz="4" w:space="4" w:color="auto"/>
        </w:pBdr>
        <w:spacing w:before="120"/>
        <w:jc w:val="both"/>
        <w:rPr>
          <w:b/>
          <w:bCs/>
        </w:rPr>
      </w:pPr>
      <w:r>
        <w:t xml:space="preserve">Дейност 1 се счита за икономическа дейност за частни училища и ЮЛНЦ – кандидати/партньори, т.к. за тях не са приложими цитираните по-горе разпоредби. </w:t>
      </w:r>
      <w:r w:rsidRPr="003600A3">
        <w:t xml:space="preserve">Когато за </w:t>
      </w:r>
      <w:r>
        <w:t xml:space="preserve">изпълнение на </w:t>
      </w:r>
      <w:r w:rsidRPr="003600A3">
        <w:t xml:space="preserve">Дейност 1 се избират </w:t>
      </w:r>
      <w:r w:rsidR="00A26A6E">
        <w:t>изпълнители</w:t>
      </w:r>
      <w:r w:rsidRPr="003600A3">
        <w:t xml:space="preserve"> по открит, прозрачен, в достатъчна степен публичен, недискриминационен и безусловен начин  по смисъла на т.</w:t>
      </w:r>
      <w:r w:rsidR="00BB5D98">
        <w:t xml:space="preserve"> </w:t>
      </w:r>
      <w:r w:rsidRPr="003600A3">
        <w:t xml:space="preserve">89 – 96 от Известието на Комисията от </w:t>
      </w:r>
      <w:r w:rsidRPr="003600A3">
        <w:rPr>
          <w:b/>
          <w:bCs/>
        </w:rPr>
        <w:t>частните училища и ЮЛНЦ</w:t>
      </w:r>
      <w:r w:rsidRPr="003600A3">
        <w:t xml:space="preserve">, то разходите </w:t>
      </w:r>
      <w:r>
        <w:t xml:space="preserve">за тях се планират </w:t>
      </w:r>
      <w:r w:rsidRPr="003600A3">
        <w:t xml:space="preserve">в режим </w:t>
      </w:r>
      <w:r w:rsidR="00BB5D98">
        <w:t>„</w:t>
      </w:r>
      <w:r w:rsidRPr="003600A3">
        <w:t>непомощ</w:t>
      </w:r>
      <w:r w:rsidR="00BB5D98">
        <w:t>“</w:t>
      </w:r>
      <w:r>
        <w:t>, т.к. в този случай могат да се считат за нестопански дейности</w:t>
      </w:r>
      <w:r w:rsidRPr="003600A3">
        <w:t xml:space="preserve">. Когато </w:t>
      </w:r>
      <w:r w:rsidRPr="003600A3">
        <w:rPr>
          <w:b/>
          <w:bCs/>
        </w:rPr>
        <w:t>частни училища изпълняват Дейност 1 разходите за възнаграждения на назначените в тях педагогически специалисти, непедагогически персонал, ако е приложимо, следва да се залагат в режим на минимална помощ</w:t>
      </w:r>
      <w:r w:rsidRPr="003600A3">
        <w:t>, т.к. съгласно ДОС за финансиране на институциите в системата на предучилищното и училищното образование финансирането е по чл. 283, ал. 1, т.</w:t>
      </w:r>
      <w:r w:rsidR="00BB5D98">
        <w:t xml:space="preserve"> </w:t>
      </w:r>
      <w:r w:rsidRPr="003600A3">
        <w:t xml:space="preserve">1 (за ученически стипендии), т. 3 (за познавателни книжки, учебници и учебни комплекти,) т.6 (за дейности за допълнителна подкрепа за личностно развитие), т. 9 (за подкрепа на ученици с изявени дарби), </w:t>
      </w:r>
      <w:r>
        <w:t xml:space="preserve">сред които </w:t>
      </w:r>
      <w:r w:rsidRPr="003600A3">
        <w:t>Дейност 1</w:t>
      </w:r>
      <w:r>
        <w:t xml:space="preserve"> не попада</w:t>
      </w:r>
      <w:r w:rsidRPr="003600A3">
        <w:t>.</w:t>
      </w:r>
      <w:r>
        <w:t xml:space="preserve"> Разходите </w:t>
      </w:r>
      <w:r w:rsidRPr="003600A3">
        <w:rPr>
          <w:b/>
          <w:bCs/>
        </w:rPr>
        <w:t>за назначените в ЮЛНЦ</w:t>
      </w:r>
      <w:r>
        <w:t xml:space="preserve"> лица – т.е. извън назначените в училищата, </w:t>
      </w:r>
      <w:r w:rsidRPr="003600A3">
        <w:rPr>
          <w:b/>
          <w:bCs/>
        </w:rPr>
        <w:t xml:space="preserve">се считат </w:t>
      </w:r>
      <w:r w:rsidR="00825663">
        <w:rPr>
          <w:b/>
          <w:bCs/>
        </w:rPr>
        <w:t xml:space="preserve">разходи </w:t>
      </w:r>
      <w:r w:rsidRPr="003600A3">
        <w:rPr>
          <w:b/>
          <w:bCs/>
        </w:rPr>
        <w:t>за експерти образователни дейности и се залагат в режим на минимални помощ</w:t>
      </w:r>
      <w:r>
        <w:t>.</w:t>
      </w:r>
    </w:p>
    <w:p w14:paraId="7DB2809C" w14:textId="77777777" w:rsidR="003600A3" w:rsidRDefault="00C66012" w:rsidP="003600A3">
      <w:pPr>
        <w:pBdr>
          <w:top w:val="single" w:sz="4" w:space="1" w:color="auto"/>
          <w:left w:val="single" w:sz="4" w:space="13" w:color="auto"/>
          <w:bottom w:val="single" w:sz="4" w:space="1" w:color="auto"/>
          <w:right w:val="single" w:sz="4" w:space="4" w:color="auto"/>
        </w:pBdr>
        <w:spacing w:before="120"/>
        <w:jc w:val="both"/>
      </w:pPr>
      <w:r w:rsidRPr="004A3DF9">
        <w:rPr>
          <w:b/>
          <w:bCs/>
        </w:rPr>
        <w:t>Дейност 2</w:t>
      </w:r>
      <w:r w:rsidRPr="00C66012">
        <w:t>. Обучения на местна и училищна администрация, на образователни медиатори, социални работници и други заинтересовани страни и на педагогически специалисти за работа в мултикултурна среда, за придобиване, развиване и прилагане на компетентности и умения за демократична култура съгласно Референтната рамка на компетенциите за демократична култура, Хартата на основните права на ЕС .</w:t>
      </w:r>
    </w:p>
    <w:p w14:paraId="43FCEC0A" w14:textId="77777777" w:rsidR="004A3DF9" w:rsidRDefault="004A3DF9" w:rsidP="004A3DF9">
      <w:pPr>
        <w:pBdr>
          <w:top w:val="single" w:sz="4" w:space="1" w:color="auto"/>
          <w:left w:val="single" w:sz="4" w:space="13" w:color="auto"/>
          <w:bottom w:val="single" w:sz="4" w:space="1" w:color="auto"/>
          <w:right w:val="single" w:sz="4" w:space="4" w:color="auto"/>
        </w:pBdr>
        <w:spacing w:before="120"/>
        <w:jc w:val="both"/>
      </w:pPr>
      <w:r>
        <w:t>За местните администрации (вкл. Общински съвети) обученията следва да включват и теми за разработване на мерки за десегрегация и преодоляване на негативни обществени нагласи.</w:t>
      </w:r>
    </w:p>
    <w:p w14:paraId="58F80FC7" w14:textId="77777777" w:rsidR="004A3DF9" w:rsidRDefault="004A3DF9" w:rsidP="004A3DF9">
      <w:pPr>
        <w:pBdr>
          <w:top w:val="single" w:sz="4" w:space="1" w:color="auto"/>
          <w:left w:val="single" w:sz="4" w:space="13" w:color="auto"/>
          <w:bottom w:val="single" w:sz="4" w:space="1" w:color="auto"/>
          <w:right w:val="single" w:sz="4" w:space="4" w:color="auto"/>
        </w:pBdr>
        <w:spacing w:before="120"/>
        <w:jc w:val="both"/>
      </w:pPr>
      <w:r>
        <w:t>Допустими са, също така, обучения на образователни медиатори/социални работници/педагогически специалисти обучения за менторство на новопостъпили ученици от маргинализирани групи и ежедневното им общуване с ученици от немаргинализирани групи с цел подпомагане адаптацията и социализацията им в новата училищна среда.</w:t>
      </w:r>
    </w:p>
    <w:p w14:paraId="3F821E75" w14:textId="77777777" w:rsidR="00AE4017" w:rsidRDefault="00AE4017" w:rsidP="00AE4017">
      <w:pPr>
        <w:pBdr>
          <w:top w:val="single" w:sz="4" w:space="1" w:color="auto"/>
          <w:left w:val="single" w:sz="4" w:space="13" w:color="auto"/>
          <w:bottom w:val="single" w:sz="4" w:space="1" w:color="auto"/>
          <w:right w:val="single" w:sz="4" w:space="4" w:color="auto"/>
        </w:pBdr>
        <w:spacing w:before="120"/>
        <w:jc w:val="both"/>
        <w:rPr>
          <w:i/>
          <w:iCs/>
        </w:rPr>
      </w:pPr>
      <w:r w:rsidRPr="00060D24">
        <w:t xml:space="preserve">Анализът на </w:t>
      </w:r>
      <w:r w:rsidRPr="00060D24">
        <w:rPr>
          <w:b/>
          <w:bCs/>
        </w:rPr>
        <w:t>Дейност 2</w:t>
      </w:r>
      <w:r w:rsidRPr="00060D24">
        <w:t xml:space="preserve"> показва, че  за обученията на педагогическите специалисти се прилагат разпоредбите на Наредба №</w:t>
      </w:r>
      <w:r w:rsidR="00002A44">
        <w:t xml:space="preserve"> </w:t>
      </w:r>
      <w:r w:rsidRPr="00060D24">
        <w:t>15 от 2019 г. за статута и професионалното развитие на учителите, директорите и другите педагогически специалисти, която съгласно чл. 22, ал.2, т.</w:t>
      </w:r>
      <w:r w:rsidR="00002A44">
        <w:t xml:space="preserve"> </w:t>
      </w:r>
      <w:r w:rsidRPr="00060D24">
        <w:t>14 от ЗПУО е Държавния образователен стандарт за статута и професионалното развитие на учителите, директорите и другите педагогически специалисти. Съгласно цитираната норма обученията на педагогическите специ</w:t>
      </w:r>
      <w:r w:rsidR="00060D24" w:rsidRPr="00060D24">
        <w:t>а</w:t>
      </w:r>
      <w:r w:rsidRPr="00060D24">
        <w:t>листи са с присъждане на квалификационни кредити и съгласно чл.43 се осъществяват само от обучителни институции, одобрени по реда на Наредбата и регистрирани в Информационен регистър на одобрените програми за повишаване на квалификацията на педагогическите специалисти</w:t>
      </w:r>
      <w:r w:rsidRPr="00060D24">
        <w:rPr>
          <w:lang w:val="en-US"/>
        </w:rPr>
        <w:t xml:space="preserve"> - </w:t>
      </w:r>
      <w:hyperlink r:id="rId8" w:history="1">
        <w:r w:rsidRPr="00060D24">
          <w:rPr>
            <w:rStyle w:val="Hyperlink"/>
            <w:lang w:val="en-US"/>
          </w:rPr>
          <w:t>https://rq.mon.bg/</w:t>
        </w:r>
      </w:hyperlink>
      <w:r w:rsidRPr="00060D24">
        <w:rPr>
          <w:lang w:val="en-US"/>
        </w:rPr>
        <w:t>.</w:t>
      </w:r>
      <w:r w:rsidRPr="00060D24">
        <w:t xml:space="preserve"> Обученията по Дейност 2 на педагогическите специалисти са по теми от Референтната рамката за демократична култура</w:t>
      </w:r>
      <w:r w:rsidR="004A3DF9">
        <w:t>,</w:t>
      </w:r>
      <w:r w:rsidR="004A3DF9" w:rsidRPr="004A3DF9">
        <w:t xml:space="preserve"> Хартата на основните права на ЕС</w:t>
      </w:r>
      <w:r w:rsidR="004A3DF9">
        <w:t>, както и за менторство</w:t>
      </w:r>
      <w:r w:rsidRPr="00060D24">
        <w:t xml:space="preserve"> и с оглед гарантиране на ефективност се организират с физическо присъствие в групи от 8 участници, без нощувки с продължителност от един или два дни с физическо присъствие или хибридно, което изисква провеждането им в населеното място и в самите образователните институции, кандидат/партньори по проекта. Обучения на образователни медиатори, други непедагогически специалисти</w:t>
      </w:r>
      <w:r w:rsidR="004A3DF9">
        <w:t xml:space="preserve"> като общинска и училищна администрация</w:t>
      </w:r>
      <w:r w:rsidRPr="00060D24">
        <w:t xml:space="preserve"> и на </w:t>
      </w:r>
      <w:r w:rsidRPr="00060D24">
        <w:lastRenderedPageBreak/>
        <w:t xml:space="preserve">педагогически специалисти без присъждане на квалификационни кредити се осъществяват също от обучителни </w:t>
      </w:r>
      <w:r w:rsidR="004A3DF9">
        <w:t xml:space="preserve">организации. </w:t>
      </w:r>
      <w:r w:rsidRPr="00060D24">
        <w:t>За да не се предоставя селективно предимство и да не се нарушава конкуренцията при осъществяване на Дейност 2 допустими</w:t>
      </w:r>
      <w:r w:rsidR="00097FD4">
        <w:t>т</w:t>
      </w:r>
      <w:r w:rsidRPr="00060D24">
        <w:rPr>
          <w:lang w:val="en-US"/>
        </w:rPr>
        <w:t>e</w:t>
      </w:r>
      <w:r w:rsidRPr="00060D24">
        <w:t xml:space="preserve"> кандидати/партньори следва да избират обучителните организации от регистъра на МОН</w:t>
      </w:r>
      <w:r w:rsidR="004A3DF9">
        <w:t>, за обученията с квалификационни кредити, и/или други обучителни организации извън регистъра на МОН за обучения без квалификационни кредити</w:t>
      </w:r>
      <w:r w:rsidRPr="00060D24">
        <w:t xml:space="preserve"> чрез открита, прозрачна и недискриминационна процедура по смисъла на т.</w:t>
      </w:r>
      <w:r w:rsidR="00744854">
        <w:t xml:space="preserve"> </w:t>
      </w:r>
      <w:r w:rsidRPr="00060D24">
        <w:t xml:space="preserve">89 – 96 от Известието на Комисията и Глава </w:t>
      </w:r>
      <w:r w:rsidRPr="00060D24">
        <w:rPr>
          <w:lang w:val="en-US"/>
        </w:rPr>
        <w:t xml:space="preserve">IV </w:t>
      </w:r>
      <w:r w:rsidRPr="00060D24">
        <w:t>от</w:t>
      </w:r>
      <w:r w:rsidRPr="00060D24">
        <w:rPr>
          <w:lang w:val="en-US"/>
        </w:rPr>
        <w:t xml:space="preserve"> </w:t>
      </w:r>
      <w:r w:rsidRPr="00060D24">
        <w:t xml:space="preserve">ЗУСЕФСУ, което определя Дейност 2 в режим </w:t>
      </w:r>
      <w:r w:rsidR="00744854">
        <w:t>„</w:t>
      </w:r>
      <w:r w:rsidRPr="00060D24">
        <w:t>непомощ</w:t>
      </w:r>
      <w:r w:rsidR="00744854">
        <w:t>“</w:t>
      </w:r>
      <w:r w:rsidRPr="00060D24">
        <w:t xml:space="preserve"> за тях. В противен случай Дейност 2 следва да се осъществява в режим на минимална помощ от кандидати/партньори поради наличието на пазар на обучителни организации. Разходите за Дейност 2 за възнаграждения на лектори-обучители, както и другите разходи, необходими за обучението в рамките на 40% ставка от разходите за персонал</w:t>
      </w:r>
      <w:r w:rsidR="00097FD4">
        <w:t xml:space="preserve"> </w:t>
      </w:r>
      <w:r w:rsidRPr="00060D24">
        <w:t>(възнаграждения) при избрана обучителна организация по реда на открита, прозрачна и публична процедура по смисъла на т.</w:t>
      </w:r>
      <w:r w:rsidR="00744854">
        <w:t xml:space="preserve"> </w:t>
      </w:r>
      <w:r w:rsidRPr="00060D24">
        <w:t xml:space="preserve">89-96 от Известието на Комисията, се считат в режим </w:t>
      </w:r>
      <w:r w:rsidR="00744854">
        <w:t>„</w:t>
      </w:r>
      <w:r w:rsidRPr="00060D24">
        <w:t>непомощ</w:t>
      </w:r>
      <w:r w:rsidR="00744854">
        <w:t>“</w:t>
      </w:r>
      <w:r w:rsidRPr="00060D24">
        <w:t xml:space="preserve"> за изпълняващия кандидат/партньор Дейност 2 по проекта. </w:t>
      </w:r>
      <w:r w:rsidRPr="00060D24">
        <w:rPr>
          <w:i/>
          <w:iCs/>
        </w:rPr>
        <w:t xml:space="preserve">В случай че кандидат/партньор </w:t>
      </w:r>
      <w:r w:rsidR="00097FD4">
        <w:rPr>
          <w:i/>
          <w:iCs/>
        </w:rPr>
        <w:t>ЮЛНЦ</w:t>
      </w:r>
      <w:r w:rsidRPr="00060D24">
        <w:rPr>
          <w:i/>
          <w:iCs/>
        </w:rPr>
        <w:t>, е сред обучителните организации от регистъра на МОН и изпълнява Дейност 2 по проекта, то за него се прилага режим на минимална помощ.</w:t>
      </w:r>
    </w:p>
    <w:p w14:paraId="7DD74E2F" w14:textId="77777777" w:rsidR="004A3DF9" w:rsidRDefault="004A3DF9" w:rsidP="00AE4017">
      <w:pPr>
        <w:pBdr>
          <w:top w:val="single" w:sz="4" w:space="1" w:color="auto"/>
          <w:left w:val="single" w:sz="4" w:space="13" w:color="auto"/>
          <w:bottom w:val="single" w:sz="4" w:space="1" w:color="auto"/>
          <w:right w:val="single" w:sz="4" w:space="4" w:color="auto"/>
        </w:pBdr>
        <w:spacing w:before="120"/>
        <w:jc w:val="both"/>
        <w:rPr>
          <w:i/>
          <w:iCs/>
        </w:rPr>
      </w:pPr>
    </w:p>
    <w:p w14:paraId="47DF5F8E" w14:textId="77777777" w:rsidR="004A3DF9" w:rsidRDefault="004A3DF9" w:rsidP="004A3DF9">
      <w:pPr>
        <w:pBdr>
          <w:top w:val="single" w:sz="4" w:space="1" w:color="auto"/>
          <w:left w:val="single" w:sz="4" w:space="13" w:color="auto"/>
          <w:bottom w:val="single" w:sz="4" w:space="1" w:color="auto"/>
          <w:right w:val="single" w:sz="4" w:space="4" w:color="auto"/>
        </w:pBdr>
        <w:spacing w:before="120"/>
        <w:jc w:val="both"/>
      </w:pPr>
      <w:r w:rsidRPr="004A3DF9">
        <w:rPr>
          <w:b/>
          <w:bCs/>
        </w:rPr>
        <w:t>Дейност 3.</w:t>
      </w:r>
      <w:r>
        <w:t xml:space="preserve"> Мобилност и обмяна на опит чрез:</w:t>
      </w:r>
    </w:p>
    <w:p w14:paraId="5F619570" w14:textId="77777777" w:rsidR="004A3DF9" w:rsidRDefault="004A3DF9" w:rsidP="004A3DF9">
      <w:pPr>
        <w:pBdr>
          <w:top w:val="single" w:sz="4" w:space="1" w:color="auto"/>
          <w:left w:val="single" w:sz="4" w:space="13" w:color="auto"/>
          <w:bottom w:val="single" w:sz="4" w:space="1" w:color="auto"/>
          <w:right w:val="single" w:sz="4" w:space="4" w:color="auto"/>
        </w:pBdr>
        <w:spacing w:before="120"/>
        <w:jc w:val="both"/>
      </w:pPr>
      <w:r>
        <w:t>- обмяна на опит на управленско ниво в училище - чрез посещения на директор</w:t>
      </w:r>
      <w:r w:rsidR="00744854">
        <w:t>/заместник-директор</w:t>
      </w:r>
      <w:r>
        <w:t xml:space="preserve"> от училище с ниска или без концентрация на уязвими групи в училище с висока</w:t>
      </w:r>
      <w:r w:rsidR="00744854">
        <w:t xml:space="preserve"> или по-ниска</w:t>
      </w:r>
      <w:r>
        <w:t xml:space="preserve"> концентрация на уязвими групи и изготвяне на конкретни препоръки и мерки за подобряване на организацията за предотвратяване на сегрегацията, вкл. вторичната сегрегация, преодоляване на стереотипи и негативни нагласи;</w:t>
      </w:r>
    </w:p>
    <w:p w14:paraId="3DAED523" w14:textId="77777777" w:rsidR="004A3DF9" w:rsidRDefault="004A3DF9" w:rsidP="004A3DF9">
      <w:pPr>
        <w:pBdr>
          <w:top w:val="single" w:sz="4" w:space="1" w:color="auto"/>
          <w:left w:val="single" w:sz="4" w:space="13" w:color="auto"/>
          <w:bottom w:val="single" w:sz="4" w:space="1" w:color="auto"/>
          <w:right w:val="single" w:sz="4" w:space="4" w:color="auto"/>
        </w:pBdr>
        <w:spacing w:before="120"/>
        <w:jc w:val="both"/>
      </w:pPr>
      <w:r>
        <w:t>- обмяна на опит на ниво учебен процес между партниращите училища - чрез посещения на педагогически специалисти от училище с ниска или без концентрация на уязвими групи в училище с висока</w:t>
      </w:r>
      <w:r w:rsidR="00744854">
        <w:t xml:space="preserve"> или с по-ниска</w:t>
      </w:r>
      <w:r>
        <w:t xml:space="preserve"> концентрация на уязвими групи, както и мобилност на учители от училище с ниска или без концентрация на уязвими групи се включват (като гост-преподавател) в провеждането на часове в училище с висока </w:t>
      </w:r>
      <w:r w:rsidR="00744854">
        <w:t xml:space="preserve">или по-ниска </w:t>
      </w:r>
      <w:r>
        <w:t>концентрация на уязвими групи и обратно, и изготвяне на конкретни препоръки за подобряване процеса на преподаване за недопускане на дискриминация, основана на раса, етнически произход или религиозна принадлежност;</w:t>
      </w:r>
    </w:p>
    <w:p w14:paraId="77336552" w14:textId="77777777" w:rsidR="004A3DF9" w:rsidRDefault="004A3DF9" w:rsidP="004A3DF9">
      <w:pPr>
        <w:pBdr>
          <w:top w:val="single" w:sz="4" w:space="1" w:color="auto"/>
          <w:left w:val="single" w:sz="4" w:space="13" w:color="auto"/>
          <w:bottom w:val="single" w:sz="4" w:space="1" w:color="auto"/>
          <w:right w:val="single" w:sz="4" w:space="4" w:color="auto"/>
        </w:pBdr>
        <w:spacing w:before="120"/>
        <w:jc w:val="both"/>
      </w:pPr>
      <w:r>
        <w:t>- мобилност на образователни медиатори между партниращите училища – чрез посещения за обмяна на опит за подобряване процеса на работа с целевите групи – например запознаване на учениците и родителите от немаргинализирани групи със специфичните характеристики на маргинализираните групи с оглед намаляване на предразсъдъци и негативни нагласи.</w:t>
      </w:r>
    </w:p>
    <w:p w14:paraId="09C2F12E" w14:textId="77777777" w:rsidR="004A3DF9" w:rsidRPr="004A3DF9" w:rsidRDefault="004A3DF9" w:rsidP="004A3DF9">
      <w:pPr>
        <w:pBdr>
          <w:top w:val="single" w:sz="4" w:space="1" w:color="auto"/>
          <w:left w:val="single" w:sz="4" w:space="13" w:color="auto"/>
          <w:bottom w:val="single" w:sz="4" w:space="1" w:color="auto"/>
          <w:right w:val="single" w:sz="4" w:space="4" w:color="auto"/>
        </w:pBdr>
        <w:spacing w:before="120"/>
        <w:jc w:val="both"/>
      </w:pPr>
      <w:r>
        <w:t>- разработване и утвърждаване на училищни планове за десегрегация, въз основа на споделения опит.</w:t>
      </w:r>
    </w:p>
    <w:p w14:paraId="16AB24E4" w14:textId="77777777" w:rsidR="00CB7B99" w:rsidRPr="00CB7B99" w:rsidRDefault="00CB7B99" w:rsidP="00AE4017">
      <w:pPr>
        <w:pBdr>
          <w:top w:val="single" w:sz="4" w:space="1" w:color="auto"/>
          <w:left w:val="single" w:sz="4" w:space="13" w:color="auto"/>
          <w:bottom w:val="single" w:sz="4" w:space="1" w:color="auto"/>
          <w:right w:val="single" w:sz="4" w:space="4" w:color="auto"/>
        </w:pBdr>
        <w:spacing w:before="120"/>
        <w:jc w:val="both"/>
      </w:pPr>
      <w:r>
        <w:t>Дейност 3 обхваща мобилност и обмяна на опит на назначени в училищата педагогически специалисти, вкл. директори</w:t>
      </w:r>
      <w:r w:rsidR="0064305F">
        <w:t>/заместник-директори</w:t>
      </w:r>
      <w:r>
        <w:t xml:space="preserve"> и непедагогически персонал – образователни медиатори и др. за определен период. По същество Дейност 3 е в обхвата на дейностите, обект на държана политика, реализира се от училища и назначените в тях директори,</w:t>
      </w:r>
      <w:r w:rsidR="0064305F">
        <w:t xml:space="preserve"> заместник-директори,</w:t>
      </w:r>
      <w:r>
        <w:t xml:space="preserve"> учители, др. педагогически специалисти, образователни медиатори и т.н. </w:t>
      </w:r>
      <w:r w:rsidRPr="00CB7B99">
        <w:t xml:space="preserve">В резултат на </w:t>
      </w:r>
      <w:r>
        <w:t xml:space="preserve">Дейност </w:t>
      </w:r>
      <w:r w:rsidRPr="00CB7B99">
        <w:t xml:space="preserve">3 чрез мобилност и </w:t>
      </w:r>
      <w:r w:rsidRPr="00CB7B99">
        <w:lastRenderedPageBreak/>
        <w:t xml:space="preserve">обмяна на опит следва да бъде разработен и утвърден училищен план за десегрегация на училището с висока </w:t>
      </w:r>
      <w:r w:rsidR="0064305F">
        <w:t xml:space="preserve">или с по-ниска </w:t>
      </w:r>
      <w:r w:rsidRPr="00CB7B99">
        <w:t>концентрация на уязвими групи и мерки в училищен план на училището с по-ниска или без концентрация на уязвими групи за предотвратяване на вторичната сегрегация в класната стая, както и мерки за преодоляване на стереотипи и негативни нагласи</w:t>
      </w:r>
      <w:r>
        <w:t>.</w:t>
      </w:r>
    </w:p>
    <w:p w14:paraId="3EB2F4A1" w14:textId="77777777" w:rsidR="00E8026A" w:rsidRDefault="00CB7B99" w:rsidP="00AE4017">
      <w:pPr>
        <w:pBdr>
          <w:top w:val="single" w:sz="4" w:space="1" w:color="auto"/>
          <w:left w:val="single" w:sz="4" w:space="13" w:color="auto"/>
          <w:bottom w:val="single" w:sz="4" w:space="1" w:color="auto"/>
          <w:right w:val="single" w:sz="4" w:space="4" w:color="auto"/>
        </w:pBdr>
        <w:spacing w:before="120"/>
        <w:jc w:val="both"/>
      </w:pPr>
      <w:r>
        <w:t xml:space="preserve">Следователно Дейност 3 е неикономическа дейност и разходите за нея се планират в режим </w:t>
      </w:r>
      <w:r w:rsidR="00CF178A">
        <w:t>„</w:t>
      </w:r>
      <w:r>
        <w:t>непомощ</w:t>
      </w:r>
      <w:r w:rsidR="00CF178A">
        <w:t>“</w:t>
      </w:r>
      <w:r>
        <w:t xml:space="preserve"> за допустимите кандидати/партньори училища, както и за директори от училищата</w:t>
      </w:r>
      <w:r w:rsidRPr="00CB7B99">
        <w:t xml:space="preserve"> </w:t>
      </w:r>
      <w:r>
        <w:t xml:space="preserve">с </w:t>
      </w:r>
      <w:r w:rsidRPr="00CB7B99">
        <w:t>високи образователни резултати</w:t>
      </w:r>
      <w:r>
        <w:t xml:space="preserve">, които не са партньори по проекта. </w:t>
      </w:r>
      <w:r w:rsidRPr="00CB7B99">
        <w:rPr>
          <w:u w:val="single"/>
        </w:rPr>
        <w:t>Дейност 3 не може да се изпълнява от общини, РУО, ЮЛНЦ. В тази връзка разходите за възнагр</w:t>
      </w:r>
      <w:r>
        <w:rPr>
          <w:u w:val="single"/>
        </w:rPr>
        <w:t>аждения при мобилност и обмяна на опит на директори,</w:t>
      </w:r>
      <w:r w:rsidR="00CF178A">
        <w:rPr>
          <w:u w:val="single"/>
        </w:rPr>
        <w:t xml:space="preserve"> заместник-директори,</w:t>
      </w:r>
      <w:r>
        <w:rPr>
          <w:u w:val="single"/>
        </w:rPr>
        <w:t xml:space="preserve"> педагогически специалисти и непедагогически персонал като образователни медиатори от държавни и общински училища се планират в режим </w:t>
      </w:r>
      <w:r w:rsidR="00CF178A">
        <w:rPr>
          <w:u w:val="single"/>
        </w:rPr>
        <w:t>„</w:t>
      </w:r>
      <w:r>
        <w:rPr>
          <w:u w:val="single"/>
        </w:rPr>
        <w:t>непомощ</w:t>
      </w:r>
      <w:r w:rsidR="00CF178A">
        <w:rPr>
          <w:u w:val="single"/>
        </w:rPr>
        <w:t>“</w:t>
      </w:r>
      <w:r>
        <w:rPr>
          <w:u w:val="single"/>
        </w:rPr>
        <w:t xml:space="preserve">. </w:t>
      </w:r>
      <w:r w:rsidRPr="00CB7B99">
        <w:rPr>
          <w:b/>
          <w:bCs/>
          <w:u w:val="single"/>
        </w:rPr>
        <w:t>За частни училища – кандидати/партньори, разходите за възнаграждения за мобилност по Дейност 3 са в режим на минимална помощ</w:t>
      </w:r>
      <w:r>
        <w:rPr>
          <w:u w:val="single"/>
        </w:rPr>
        <w:t>.</w:t>
      </w:r>
      <w:r w:rsidR="00111CBA">
        <w:rPr>
          <w:u w:val="single"/>
        </w:rPr>
        <w:t xml:space="preserve"> </w:t>
      </w:r>
    </w:p>
    <w:p w14:paraId="725F87FF" w14:textId="77777777" w:rsidR="00E8026A" w:rsidRDefault="00E8026A" w:rsidP="00E8026A">
      <w:pPr>
        <w:pBdr>
          <w:top w:val="single" w:sz="4" w:space="1" w:color="auto"/>
          <w:left w:val="single" w:sz="4" w:space="13" w:color="auto"/>
          <w:bottom w:val="single" w:sz="4" w:space="1" w:color="auto"/>
          <w:right w:val="single" w:sz="4" w:space="4" w:color="auto"/>
        </w:pBdr>
        <w:spacing w:before="120"/>
        <w:jc w:val="both"/>
      </w:pPr>
      <w:r w:rsidRPr="00E8026A">
        <w:rPr>
          <w:b/>
          <w:bCs/>
        </w:rPr>
        <w:t>Дейност 4.</w:t>
      </w:r>
      <w:r>
        <w:t xml:space="preserve"> Училищни дейности в подкрепа на десегрегацията:</w:t>
      </w:r>
    </w:p>
    <w:p w14:paraId="55F134BA" w14:textId="77777777" w:rsidR="00E8026A" w:rsidRDefault="00E8026A" w:rsidP="00E8026A">
      <w:pPr>
        <w:pBdr>
          <w:top w:val="single" w:sz="4" w:space="1" w:color="auto"/>
          <w:left w:val="single" w:sz="4" w:space="13" w:color="auto"/>
          <w:bottom w:val="single" w:sz="4" w:space="1" w:color="auto"/>
          <w:right w:val="single" w:sz="4" w:space="4" w:color="auto"/>
        </w:pBdr>
        <w:spacing w:before="120"/>
        <w:jc w:val="both"/>
      </w:pPr>
      <w:r>
        <w:t>- междуучилищни дейности между училище с висока концентрация на уязвими групи</w:t>
      </w:r>
      <w:r w:rsidR="00A01B81">
        <w:t>,</w:t>
      </w:r>
      <w:r>
        <w:t xml:space="preserve"> училище с ниска или без концентрация на уязвими групи като съвместни състезания, игри, празници, фестивали, </w:t>
      </w:r>
      <w:r w:rsidR="00A01B81">
        <w:t xml:space="preserve">работилници, </w:t>
      </w:r>
      <w:r>
        <w:t xml:space="preserve">обменни визити, др. </w:t>
      </w:r>
      <w:r w:rsidR="00A01B81">
        <w:t xml:space="preserve">за осъществяване на интеркултурно образование и </w:t>
      </w:r>
      <w:r>
        <w:t>за преодоляване на негативни стереотипи и дискриминационни нагласи, основани на етническа и културна идентичност, вкл. с участието на психолози;</w:t>
      </w:r>
    </w:p>
    <w:p w14:paraId="21809D69" w14:textId="77777777" w:rsidR="00E8026A" w:rsidRDefault="00E8026A" w:rsidP="00E8026A">
      <w:pPr>
        <w:pBdr>
          <w:top w:val="single" w:sz="4" w:space="1" w:color="auto"/>
          <w:left w:val="single" w:sz="4" w:space="13" w:color="auto"/>
          <w:bottom w:val="single" w:sz="4" w:space="1" w:color="auto"/>
          <w:right w:val="single" w:sz="4" w:space="4" w:color="auto"/>
        </w:pBdr>
        <w:spacing w:before="120"/>
        <w:jc w:val="both"/>
      </w:pPr>
      <w:r>
        <w:t>- допълнителни обучения по БЕЛ и др. предмети, подпомагащи езиковото ниво на учениците от маргинализираните групи, чийто майчин език не е български, допълнителни обучения за преодоляване на дефицити по учебното съдържание и/или интегрирано-езикови обучения за предотвратяване отпадането от образование, вкл. с участието на психолози.</w:t>
      </w:r>
    </w:p>
    <w:p w14:paraId="5E2396D1" w14:textId="77777777" w:rsidR="00E8026A" w:rsidRDefault="00E8026A" w:rsidP="00E8026A">
      <w:pPr>
        <w:pBdr>
          <w:top w:val="single" w:sz="4" w:space="1" w:color="auto"/>
          <w:left w:val="single" w:sz="4" w:space="13" w:color="auto"/>
          <w:bottom w:val="single" w:sz="4" w:space="1" w:color="auto"/>
          <w:right w:val="single" w:sz="4" w:space="4" w:color="auto"/>
        </w:pBdr>
        <w:spacing w:before="120"/>
        <w:jc w:val="both"/>
      </w:pPr>
      <w:r>
        <w:t xml:space="preserve">- подготовка и </w:t>
      </w:r>
      <w:r w:rsidR="00373784">
        <w:t xml:space="preserve">прилагане </w:t>
      </w:r>
      <w:r>
        <w:t>на адаптирани учебни материали и помагала за ученици, чийто майчин език е различен от българския език за осъществяване на допълнително подпомагащо езиково обучение по български език в началното училище, заедно с интегрирана езикова подкрепа, целенасочено оказвана по всички предмети, която продължава и в горните класове.</w:t>
      </w:r>
    </w:p>
    <w:p w14:paraId="165DA951" w14:textId="77777777" w:rsidR="00E8026A" w:rsidRDefault="00E8026A" w:rsidP="00060D24">
      <w:pPr>
        <w:pBdr>
          <w:top w:val="single" w:sz="4" w:space="1" w:color="auto"/>
          <w:left w:val="single" w:sz="4" w:space="13" w:color="auto"/>
          <w:bottom w:val="single" w:sz="4" w:space="1" w:color="auto"/>
          <w:right w:val="single" w:sz="4" w:space="4" w:color="auto"/>
        </w:pBdr>
        <w:spacing w:before="120"/>
        <w:jc w:val="both"/>
      </w:pPr>
      <w:r>
        <w:t>Допълнителните обучения по БЕЛ и др. предмети, включително и въвеждане на адаптирани учебни материали и помагала за ученици, чийто майчин език е различен от българския език, които се организират и провеждат съгласно чл. 17 от Наредба за приобщаващото образование. Междуучилищните дейности се организират и провеждат в съответствие с чл.</w:t>
      </w:r>
      <w:r w:rsidR="00EC61B3">
        <w:t xml:space="preserve"> </w:t>
      </w:r>
      <w:r>
        <w:t>21, ал.</w:t>
      </w:r>
      <w:r w:rsidR="00EC61B3">
        <w:t xml:space="preserve"> </w:t>
      </w:r>
      <w:r>
        <w:t>1, чл.</w:t>
      </w:r>
      <w:r w:rsidR="00EC61B3">
        <w:t xml:space="preserve"> </w:t>
      </w:r>
      <w:r>
        <w:t>21д, ал.</w:t>
      </w:r>
      <w:r w:rsidR="00EC61B3">
        <w:t xml:space="preserve"> </w:t>
      </w:r>
      <w:r>
        <w:t>2, т.</w:t>
      </w:r>
      <w:r w:rsidR="00EC61B3">
        <w:t xml:space="preserve"> </w:t>
      </w:r>
      <w:r>
        <w:t>5, чл.</w:t>
      </w:r>
      <w:r w:rsidR="00EC61B3">
        <w:t xml:space="preserve"> </w:t>
      </w:r>
      <w:r>
        <w:t>21е, ал.</w:t>
      </w:r>
      <w:r w:rsidR="00EC61B3">
        <w:t xml:space="preserve"> </w:t>
      </w:r>
      <w:r>
        <w:t>1, т.</w:t>
      </w:r>
      <w:r w:rsidR="00EC61B3">
        <w:t xml:space="preserve"> </w:t>
      </w:r>
      <w:r>
        <w:t xml:space="preserve">1 и др. от Наредба за приобщаващото образование – следователно същите са неикономически дейности за държавни и общински училища, както и за общини и РУО, когато е приложимо. </w:t>
      </w:r>
      <w:r w:rsidRPr="00E8026A">
        <w:rPr>
          <w:b/>
          <w:bCs/>
        </w:rPr>
        <w:t xml:space="preserve">Разходите за възнаграждения за </w:t>
      </w:r>
      <w:r>
        <w:rPr>
          <w:b/>
          <w:bCs/>
        </w:rPr>
        <w:t xml:space="preserve">допълнителни обучения и </w:t>
      </w:r>
      <w:r w:rsidRPr="00E8026A">
        <w:rPr>
          <w:b/>
          <w:bCs/>
        </w:rPr>
        <w:t xml:space="preserve">междуучилищни дейности на педагогически специалисти от държавните и общински училища са в режим </w:t>
      </w:r>
      <w:r w:rsidR="002F695E">
        <w:rPr>
          <w:b/>
          <w:bCs/>
        </w:rPr>
        <w:t>„</w:t>
      </w:r>
      <w:r w:rsidRPr="00E8026A">
        <w:rPr>
          <w:b/>
          <w:bCs/>
        </w:rPr>
        <w:t>непомощ</w:t>
      </w:r>
      <w:r w:rsidR="002F695E">
        <w:rPr>
          <w:b/>
          <w:bCs/>
        </w:rPr>
        <w:t>“</w:t>
      </w:r>
      <w:r w:rsidRPr="00E8026A">
        <w:rPr>
          <w:b/>
          <w:bCs/>
        </w:rPr>
        <w:t>, а за тези от частните училища</w:t>
      </w:r>
      <w:r w:rsidR="002F695E">
        <w:rPr>
          <w:b/>
          <w:bCs/>
        </w:rPr>
        <w:t xml:space="preserve"> и ЮЛНЦ</w:t>
      </w:r>
      <w:r w:rsidRPr="00E8026A">
        <w:rPr>
          <w:b/>
          <w:bCs/>
        </w:rPr>
        <w:t xml:space="preserve"> са в режим на минимална помощ</w:t>
      </w:r>
      <w:r>
        <w:t xml:space="preserve">. </w:t>
      </w:r>
      <w:r w:rsidRPr="00E8026A">
        <w:t xml:space="preserve">Когато </w:t>
      </w:r>
      <w:r>
        <w:t xml:space="preserve">за изпълнението на междуучилищни дейности </w:t>
      </w:r>
      <w:r w:rsidRPr="00E8026A">
        <w:t xml:space="preserve">са сключени граждански договори с външни експерти ЕОД в съответствие с действащата нормативна уредба, разходите се предоставят в режим „непомощ“ за всички допустими кандидати/партньори, т.к. те ги трансферират към съответното физическо лице. Когато външен експерт ЕОД е в трудови правоотношения с ЮЛНЦ– </w:t>
      </w:r>
      <w:r w:rsidR="002F695E">
        <w:t>кандидат/</w:t>
      </w:r>
      <w:r w:rsidRPr="00E8026A">
        <w:t xml:space="preserve">партньор по </w:t>
      </w:r>
      <w:r w:rsidRPr="00E8026A">
        <w:lastRenderedPageBreak/>
        <w:t>проекта (т.е. нает на трудов договор), разходите за ЮЛНЦ се предоставят в режим на минимална помощ.</w:t>
      </w:r>
      <w:r>
        <w:t xml:space="preserve"> </w:t>
      </w:r>
    </w:p>
    <w:p w14:paraId="223556A7" w14:textId="77777777" w:rsidR="00E8026A" w:rsidRPr="00060D24" w:rsidRDefault="00E8026A" w:rsidP="00060D24">
      <w:pPr>
        <w:pBdr>
          <w:top w:val="single" w:sz="4" w:space="1" w:color="auto"/>
          <w:left w:val="single" w:sz="4" w:space="13" w:color="auto"/>
          <w:bottom w:val="single" w:sz="4" w:space="1" w:color="auto"/>
          <w:right w:val="single" w:sz="4" w:space="4" w:color="auto"/>
        </w:pBdr>
        <w:spacing w:before="120"/>
        <w:jc w:val="both"/>
      </w:pPr>
      <w:r>
        <w:t>За всяка от допустимите дейности в</w:t>
      </w:r>
      <w:r w:rsidRPr="00E8026A">
        <w:t xml:space="preserve"> рамките на другите преки и непреки разходи се включват преки разходи, като напр. за консумативи и материали, за образователни пособия, за транспорт</w:t>
      </w:r>
      <w:r w:rsidR="002F695E">
        <w:t xml:space="preserve"> (вкл. вътрешноградски</w:t>
      </w:r>
      <w:r w:rsidR="002F695E">
        <w:rPr>
          <w:rStyle w:val="FootnoteReference"/>
        </w:rPr>
        <w:footnoteReference w:id="8"/>
      </w:r>
      <w:r w:rsidR="002F695E">
        <w:t>)</w:t>
      </w:r>
      <w:r w:rsidRPr="00E8026A">
        <w:t>, за услуги, за информираност и публичност на събития, както и непреки разходи, като напр. за организация и управление на проекта, за мониторинг на образователните резултати,  комуникация и видимост на проекта, и т.н. Прилага се единна ставка в размер на 40% от разходите за персонал. Когато допустимите кандидати/партньори – частни училища, ЮЛНЦ, прилагат открити, прозрачни и публични процедури по смисъла на т. 89-96 от Известието на Комисията и Глава IV от ЗУСЕФСУ, разходите за тях се предоставят в режим „непомощ“.</w:t>
      </w:r>
    </w:p>
    <w:p w14:paraId="734A106B" w14:textId="77777777" w:rsidR="0048299E" w:rsidRPr="00060D24" w:rsidRDefault="0048299E" w:rsidP="00E37A76">
      <w:pPr>
        <w:spacing w:line="360" w:lineRule="auto"/>
        <w:jc w:val="both"/>
      </w:pPr>
    </w:p>
    <w:p w14:paraId="7B64CB35" w14:textId="77777777" w:rsidR="00E541F5" w:rsidRPr="00060D24" w:rsidRDefault="00AE4017" w:rsidP="00AE4017">
      <w:pPr>
        <w:numPr>
          <w:ilvl w:val="0"/>
          <w:numId w:val="8"/>
        </w:numPr>
        <w:spacing w:line="360" w:lineRule="auto"/>
        <w:jc w:val="both"/>
        <w:rPr>
          <w:u w:val="single"/>
        </w:rPr>
      </w:pPr>
      <w:r w:rsidRPr="00060D24">
        <w:rPr>
          <w:u w:val="single"/>
        </w:rPr>
        <w:t>Режим на минимална помощ</w:t>
      </w:r>
    </w:p>
    <w:p w14:paraId="64D4B7A6"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Режим на минимална помощ по настоящата процедура се прилага за частни училища, за ЮЛНЦ съгласно прегледа на нормативната уредба за държавни помощи и анализа на дейностите, когато за реализирането </w:t>
      </w:r>
      <w:r w:rsidR="009D2528">
        <w:t>на дейностите</w:t>
      </w:r>
      <w:r w:rsidR="009D2528" w:rsidRPr="00060D24">
        <w:t xml:space="preserve"> </w:t>
      </w:r>
      <w:r w:rsidRPr="00060D24">
        <w:t xml:space="preserve">не са </w:t>
      </w:r>
      <w:r w:rsidR="009D2528">
        <w:t>планирани/</w:t>
      </w:r>
      <w:r w:rsidRPr="00060D24">
        <w:t xml:space="preserve">прилагани </w:t>
      </w:r>
      <w:r w:rsidR="009D2528">
        <w:t xml:space="preserve">открити, прозрачни и публични </w:t>
      </w:r>
      <w:r w:rsidRPr="00060D24">
        <w:t>процедури</w:t>
      </w:r>
      <w:r w:rsidR="009D2528">
        <w:t xml:space="preserve"> за избор на изпълнител </w:t>
      </w:r>
      <w:r w:rsidR="009D2528" w:rsidRPr="009D2528">
        <w:t>по смисъла на т. 89-96 от Известието на Комисията</w:t>
      </w:r>
      <w:r w:rsidRPr="00060D24">
        <w:t xml:space="preserve">, </w:t>
      </w:r>
      <w:r w:rsidR="009D2528">
        <w:t xml:space="preserve">предвид че </w:t>
      </w:r>
      <w:r w:rsidRPr="00060D24">
        <w:t xml:space="preserve">се считат за стопански дейности съгласно цитираното по-горе. </w:t>
      </w:r>
    </w:p>
    <w:p w14:paraId="4F963DD6"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rPr>
          <w:b/>
          <w:bCs/>
          <w:lang w:val="en-US"/>
        </w:rPr>
      </w:pPr>
      <w:r w:rsidRPr="00060D24">
        <w:t>Режим на миним</w:t>
      </w:r>
      <w:r>
        <w:t>а</w:t>
      </w:r>
      <w:r w:rsidRPr="00060D24">
        <w:t xml:space="preserve">лна помощ се предоставя по реда на Регламент (ЕС) </w:t>
      </w:r>
      <w:r w:rsidR="00002A44">
        <w:t>2023</w:t>
      </w:r>
      <w:r w:rsidRPr="00060D24">
        <w:t>/</w:t>
      </w:r>
      <w:r w:rsidR="00002A44">
        <w:t>2831</w:t>
      </w:r>
      <w:r w:rsidRPr="00060D24">
        <w:t xml:space="preserve"> на Комисията от 1</w:t>
      </w:r>
      <w:r w:rsidR="00002A44">
        <w:t>3</w:t>
      </w:r>
      <w:r w:rsidRPr="00060D24">
        <w:t xml:space="preserve"> декември 20</w:t>
      </w:r>
      <w:r w:rsidR="00002A44">
        <w:t>2</w:t>
      </w:r>
      <w:r w:rsidRPr="00060D24">
        <w:t>3 година относно прилагането на членове 107 и 108 от Договора за функционирането на Европейския съюз към помощта de minimis (в текст от значение за ЕИП, OB L /</w:t>
      </w:r>
      <w:r w:rsidR="00002A44">
        <w:t>15</w:t>
      </w:r>
      <w:r w:rsidRPr="00060D24">
        <w:t>.12.20</w:t>
      </w:r>
      <w:r w:rsidR="00002A44">
        <w:t>2</w:t>
      </w:r>
      <w:r w:rsidRPr="00060D24">
        <w:t>3).</w:t>
      </w:r>
      <w:bookmarkStart w:id="2" w:name="_Hlk112667987"/>
    </w:p>
    <w:bookmarkEnd w:id="2"/>
    <w:p w14:paraId="51CF0F1C"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чл. 3 от Регламент (ЕС) </w:t>
      </w:r>
      <w:r w:rsidR="00A9523F">
        <w:t>2023</w:t>
      </w:r>
      <w:r w:rsidRPr="00060D24">
        <w:t>/</w:t>
      </w:r>
      <w:r w:rsidR="00A9523F">
        <w:t>2831</w:t>
      </w:r>
      <w:r w:rsidRPr="00060D24">
        <w:t xml:space="preserve"> на Комисията от 1</w:t>
      </w:r>
      <w:r w:rsidR="00A9523F">
        <w:t>3</w:t>
      </w:r>
      <w:r w:rsidRPr="00060D24">
        <w:t xml:space="preserve"> декември 20</w:t>
      </w:r>
      <w:r w:rsidR="00A9523F">
        <w:t>2</w:t>
      </w:r>
      <w:r w:rsidRPr="00060D24">
        <w:t xml:space="preserve">3 година относно прилагането на членове 107 и 108 от Договора за функционирането на Европейския съюз към помощта </w:t>
      </w:r>
      <w:r w:rsidRPr="00060D24">
        <w:rPr>
          <w:i/>
          <w:iCs/>
        </w:rPr>
        <w:t>de minimis</w:t>
      </w:r>
      <w:r w:rsidRPr="00060D24">
        <w:t xml:space="preserve"> (в текст от значение за ЕИП, OB L /</w:t>
      </w:r>
      <w:r w:rsidR="00A9523F">
        <w:t>15</w:t>
      </w:r>
      <w:r w:rsidRPr="00060D24">
        <w:t>.12.20</w:t>
      </w:r>
      <w:r w:rsidR="00A9523F">
        <w:t>2</w:t>
      </w:r>
      <w:r w:rsidRPr="00060D24">
        <w:t xml:space="preserve">3), общият размер на помощта по режим </w:t>
      </w:r>
      <w:r w:rsidRPr="00060D24">
        <w:rPr>
          <w:i/>
          <w:iCs/>
        </w:rPr>
        <w:t>de minimis</w:t>
      </w:r>
      <w:r w:rsidRPr="00060D24">
        <w:t xml:space="preserve">, предоставяна по настоящата операция, заедно с други получени помощи за едно и също предприятие, не може да надхвърля </w:t>
      </w:r>
      <w:r w:rsidR="00A9523F">
        <w:t>3</w:t>
      </w:r>
      <w:r w:rsidRPr="00060D24">
        <w:t xml:space="preserve">00 000 EUR или </w:t>
      </w:r>
      <w:r w:rsidR="00A9523F">
        <w:t>586</w:t>
      </w:r>
      <w:r w:rsidR="009C51EB">
        <w:t> </w:t>
      </w:r>
      <w:r w:rsidR="00A9523F">
        <w:t>749</w:t>
      </w:r>
      <w:r w:rsidR="009C51EB">
        <w:t xml:space="preserve"> </w:t>
      </w:r>
      <w:r w:rsidRPr="00060D24">
        <w:t xml:space="preserve">лв. за период от три </w:t>
      </w:r>
      <w:r w:rsidR="00F214DD">
        <w:t>предходни</w:t>
      </w:r>
      <w:r w:rsidR="00F214DD" w:rsidRPr="00060D24">
        <w:t xml:space="preserve"> </w:t>
      </w:r>
      <w:r w:rsidRPr="00060D24">
        <w:t xml:space="preserve">години, при спазване на всички изисквания на Регламент (ЕС) </w:t>
      </w:r>
      <w:r w:rsidR="00A9523F">
        <w:t>2023</w:t>
      </w:r>
      <w:r w:rsidRPr="00060D24">
        <w:t>/</w:t>
      </w:r>
      <w:r w:rsidR="00A9523F">
        <w:t>2831</w:t>
      </w:r>
      <w:r w:rsidRPr="00060D24">
        <w:t>.</w:t>
      </w:r>
    </w:p>
    <w:p w14:paraId="0F83933F"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w:t>
      </w:r>
      <w:r w:rsidRPr="00060D24">
        <w:rPr>
          <w:b/>
          <w:bCs/>
        </w:rPr>
        <w:t>Минимална помощ</w:t>
      </w:r>
      <w:r w:rsidRPr="00060D24">
        <w:t>“ е помощта, която не нарушава и не застрашава конкуренцията или има незначително въздействие върху нея, поради своя минимален размер, както е определена в действащия регламент на ЕС относно прилагането на чл. 107 и 108 от Договора за функционирането на ЕС по отношение на минималната помощ.</w:t>
      </w:r>
    </w:p>
    <w:p w14:paraId="45B484D8"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w:t>
      </w:r>
      <w:r w:rsidRPr="00060D24">
        <w:rPr>
          <w:b/>
          <w:bCs/>
        </w:rPr>
        <w:t>Предприятие</w:t>
      </w:r>
      <w:r w:rsidRPr="00060D24">
        <w:t>“ по смисъла на правилата за конкуренцията е всеки субект, упражняващ стопанска дейност, независимо от правния му статут и начина, по който той се финансира.</w:t>
      </w:r>
    </w:p>
    <w:p w14:paraId="39592BB6"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w:t>
      </w:r>
      <w:r w:rsidRPr="00060D24">
        <w:rPr>
          <w:b/>
          <w:bCs/>
        </w:rPr>
        <w:t>Икономическата дейност</w:t>
      </w:r>
      <w:r w:rsidRPr="00060D24">
        <w:t>“ се изразява в предлагането на стоки и/или услуги на съществуващ конкурентен пазар.</w:t>
      </w:r>
    </w:p>
    <w:p w14:paraId="2CEEA568"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lastRenderedPageBreak/>
        <w:t>Частните училища съгласно т. 7-12 от Известието във връзка с чл. 107, §1 от ДФЕС се считат за предприятия, независимо от правния им статут, за допустимите за тях дейности по настоящата процедура, които за тях са икономически дейности, ако не са приложени открити, прозрачни и публични процедури за избор на изпълнители</w:t>
      </w:r>
      <w:r w:rsidRPr="00060D24">
        <w:rPr>
          <w:lang w:val="en-US"/>
        </w:rPr>
        <w:t xml:space="preserve">. </w:t>
      </w:r>
    </w:p>
    <w:p w14:paraId="5A4C5AC6"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ЮЛНЦ, съгласно т.</w:t>
      </w:r>
      <w:r w:rsidR="00DB788C">
        <w:t xml:space="preserve"> </w:t>
      </w:r>
      <w:r w:rsidRPr="00060D24">
        <w:t>7-12 от Известието във връзка с чл.</w:t>
      </w:r>
      <w:r w:rsidR="009C51EB">
        <w:t xml:space="preserve"> </w:t>
      </w:r>
      <w:r w:rsidRPr="00060D24">
        <w:t>107,</w:t>
      </w:r>
      <w:r w:rsidR="00DB788C">
        <w:t xml:space="preserve"> </w:t>
      </w:r>
      <w:r w:rsidRPr="00060D24">
        <w:t xml:space="preserve">§1 от ДФЕС се считат за предприятия, независимо от правния им статут, за допустимите за тях дейности, които са с икономически характер, ако не са приложени открити, прозрачни и публични процедури за избор на изпълнители или те не са избрани съгласно приложимите разпоредби на Наредба за приобщаващото образование. </w:t>
      </w:r>
    </w:p>
    <w:p w14:paraId="3E434F85" w14:textId="5FB0F2B3"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В случай че частни училища, ЮЛНЦ, бъдат включени в дейности по проекта, за които не са приложени открити и публични процедури за изпълнител, същите  представят попълнена по образец </w:t>
      </w:r>
      <w:r w:rsidRPr="00060D24">
        <w:rPr>
          <w:b/>
          <w:bCs/>
        </w:rPr>
        <w:t>Декларация за минимални помощи</w:t>
      </w:r>
      <w:r w:rsidRPr="00060D24">
        <w:t xml:space="preserve"> (</w:t>
      </w:r>
      <w:r w:rsidRPr="00060D24">
        <w:rPr>
          <w:i/>
          <w:iCs/>
        </w:rPr>
        <w:t xml:space="preserve">Приложение </w:t>
      </w:r>
      <w:r w:rsidRPr="00E80493">
        <w:rPr>
          <w:i/>
          <w:iCs/>
          <w:lang w:val="en-US"/>
        </w:rPr>
        <w:t>V</w:t>
      </w:r>
      <w:r w:rsidR="00662C3F" w:rsidRPr="00E80493">
        <w:rPr>
          <w:i/>
          <w:iCs/>
          <w:lang w:val="en-US"/>
        </w:rPr>
        <w:t>I</w:t>
      </w:r>
      <w:r w:rsidRPr="00060D24">
        <w:rPr>
          <w:i/>
          <w:iCs/>
        </w:rPr>
        <w:t xml:space="preserve"> към Условията за кандидатстване</w:t>
      </w:r>
      <w:r w:rsidRPr="00060D24">
        <w:t>), в която надлежно отразяват обстоятелствата съгласно указанията и конкретно приложимата нормативна уредба, вкл. код по КИД-2008 на дейностите, които частното училище изпълнява</w:t>
      </w:r>
      <w:r w:rsidRPr="00060D24">
        <w:rPr>
          <w:lang w:val="en-US"/>
        </w:rPr>
        <w:t>.</w:t>
      </w:r>
      <w:r w:rsidRPr="00060D24">
        <w:t xml:space="preserve"> Относно декларираните обстоятелства УО на ПО прави проверка в </w:t>
      </w:r>
      <w:r w:rsidR="00062275" w:rsidRPr="00062275">
        <w:t>„Регистър на Европейската комисия за осигуряване на прозрачност на предоставените минимални помощи“ - eAid Register (https://aid-register.ec.europa.eu/de-minimis)/</w:t>
      </w:r>
      <w:r w:rsidRPr="00060D24">
        <w:t xml:space="preserve">. </w:t>
      </w:r>
    </w:p>
    <w:p w14:paraId="374E893E"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7013B5">
        <w:t xml:space="preserve">Допустимите кандидати/партньори – частни </w:t>
      </w:r>
      <w:r w:rsidR="00E21DCC">
        <w:t>училища</w:t>
      </w:r>
      <w:r w:rsidRPr="007013B5">
        <w:t>, ЮЛНЦ, представят и счетоводни документи за дейността си съгласно т.</w:t>
      </w:r>
      <w:r w:rsidR="00DB788C" w:rsidRPr="007013B5">
        <w:t xml:space="preserve"> </w:t>
      </w:r>
      <w:r w:rsidRPr="007013B5">
        <w:t>11 за кандидати (за доказване на финансов капацитет счетоводни документи за последните две приключили финансови години към датата на кандидатстване</w:t>
      </w:r>
      <w:r w:rsidR="006A2DBC" w:rsidRPr="007013B5">
        <w:t xml:space="preserve">, </w:t>
      </w:r>
      <w:r w:rsidR="006A2DBC" w:rsidRPr="00010AF7">
        <w:t>а за целите на режима на минимална помощ за предходните три години</w:t>
      </w:r>
      <w:r w:rsidRPr="00010AF7">
        <w:t>, когато същите не са публично достъпни) и т.</w:t>
      </w:r>
      <w:r w:rsidR="00DB788C" w:rsidRPr="00010AF7">
        <w:t xml:space="preserve"> </w:t>
      </w:r>
      <w:r w:rsidRPr="00010AF7">
        <w:t xml:space="preserve">12 за партньорите от Условия за кандидатстване (ГОД – ОПР, баланс, отчет за икономическа и отчет за неикономическа дейност за </w:t>
      </w:r>
      <w:r w:rsidR="003F3C17" w:rsidRPr="00010AF7">
        <w:t>предходните три</w:t>
      </w:r>
      <w:r w:rsidRPr="00010AF7">
        <w:t xml:space="preserve"> години, когато същите не са публично достъпни</w:t>
      </w:r>
      <w:r w:rsidRPr="007013B5">
        <w:t>).</w:t>
      </w:r>
    </w:p>
    <w:p w14:paraId="5AF3E6E3"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Код по КИД-2008 на дейностите, които частните </w:t>
      </w:r>
      <w:r w:rsidR="00010AF7">
        <w:t>училища</w:t>
      </w:r>
      <w:r w:rsidRPr="00060D24">
        <w:t xml:space="preserve">, ЮЛНЦ, изпълняват, се посочват в декларацията – Приложение </w:t>
      </w:r>
      <w:r w:rsidRPr="00E80493">
        <w:rPr>
          <w:lang w:val="en-US"/>
        </w:rPr>
        <w:t>V</w:t>
      </w:r>
      <w:r w:rsidR="00662C3F" w:rsidRPr="00E80493">
        <w:rPr>
          <w:lang w:val="en-US"/>
        </w:rPr>
        <w:t>I</w:t>
      </w:r>
      <w:r w:rsidRPr="00060D24">
        <w:rPr>
          <w:lang w:val="en-US"/>
        </w:rPr>
        <w:t xml:space="preserve"> </w:t>
      </w:r>
      <w:r w:rsidRPr="00060D24">
        <w:t>към Условията за кандидатстване. Размерът на отпуснатата минимална помощ по настоящата процедура ще бъде записан в административния договор за предоставяне на безвъзмездна финансова помощ.</w:t>
      </w:r>
    </w:p>
    <w:p w14:paraId="59ED8AB9"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rPr>
          <w:b/>
          <w:bCs/>
        </w:rPr>
      </w:pPr>
      <w:r w:rsidRPr="00060D24">
        <w:rPr>
          <w:b/>
          <w:bCs/>
        </w:rPr>
        <w:t xml:space="preserve">За целта УО на ПО следи и проверява за разпоредбите на Регламент (ЕС) </w:t>
      </w:r>
      <w:r w:rsidR="004B5C2C">
        <w:rPr>
          <w:b/>
          <w:bCs/>
        </w:rPr>
        <w:t>2023</w:t>
      </w:r>
      <w:r w:rsidRPr="00060D24">
        <w:rPr>
          <w:b/>
          <w:bCs/>
        </w:rPr>
        <w:t>/</w:t>
      </w:r>
      <w:r w:rsidR="004B5C2C">
        <w:rPr>
          <w:b/>
          <w:bCs/>
        </w:rPr>
        <w:t>2831</w:t>
      </w:r>
      <w:r w:rsidRPr="00060D24">
        <w:rPr>
          <w:b/>
          <w:bCs/>
        </w:rPr>
        <w:t xml:space="preserve"> г.:</w:t>
      </w:r>
    </w:p>
    <w:p w14:paraId="08EFC981" w14:textId="77777777" w:rsidR="00060D24" w:rsidRPr="008E3475"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 Съгласно чл. 3 от Регламент (ЕС) </w:t>
      </w:r>
      <w:r w:rsidR="00DB788C">
        <w:t>2023</w:t>
      </w:r>
      <w:r w:rsidRPr="00060D24">
        <w:t>/</w:t>
      </w:r>
      <w:r w:rsidR="00DB788C">
        <w:t>2831</w:t>
      </w:r>
      <w:r w:rsidRPr="00060D24">
        <w:t xml:space="preserve"> на Комисията от 1</w:t>
      </w:r>
      <w:r w:rsidR="00DB788C">
        <w:t>3</w:t>
      </w:r>
      <w:r w:rsidRPr="00060D24">
        <w:t xml:space="preserve"> декември 20</w:t>
      </w:r>
      <w:r w:rsidR="00DB788C">
        <w:t>2</w:t>
      </w:r>
      <w:r w:rsidRPr="00060D24">
        <w:t xml:space="preserve">3 година относно прилагането на членове 107 и 108 от Договора за функционирането на Европейския съюз към помощта </w:t>
      </w:r>
      <w:r w:rsidRPr="00060D24">
        <w:rPr>
          <w:i/>
          <w:iCs/>
        </w:rPr>
        <w:t>de minimis</w:t>
      </w:r>
      <w:r w:rsidRPr="00060D24">
        <w:t xml:space="preserve"> (в текст от значение за ЕИП, OB L /</w:t>
      </w:r>
      <w:r w:rsidR="00DB788C">
        <w:t>13</w:t>
      </w:r>
      <w:r w:rsidRPr="00060D24">
        <w:t>.12.20</w:t>
      </w:r>
      <w:r w:rsidR="00DB788C">
        <w:t>2</w:t>
      </w:r>
      <w:r w:rsidRPr="00060D24">
        <w:t xml:space="preserve">3) общият размер на помощта по режим </w:t>
      </w:r>
      <w:r w:rsidRPr="00060D24">
        <w:rPr>
          <w:i/>
          <w:iCs/>
        </w:rPr>
        <w:t>de minimis</w:t>
      </w:r>
      <w:r w:rsidRPr="00060D24">
        <w:t xml:space="preserve">, предоставяна към частно училище, ЮЛНЦ по настоящата процедура, заедно с други получени помощи за едно и също предприятие, не може да надхвърля </w:t>
      </w:r>
      <w:r w:rsidR="00DB788C">
        <w:t>3</w:t>
      </w:r>
      <w:r w:rsidR="00DB788C" w:rsidRPr="00060D24">
        <w:t xml:space="preserve">00 </w:t>
      </w:r>
      <w:r w:rsidRPr="00060D24">
        <w:t xml:space="preserve">000 EUR или </w:t>
      </w:r>
      <w:r w:rsidR="00DB788C" w:rsidRPr="00DB788C">
        <w:t>586</w:t>
      </w:r>
      <w:r w:rsidR="007D06D6">
        <w:t> </w:t>
      </w:r>
      <w:r w:rsidR="00DB788C" w:rsidRPr="00DB788C">
        <w:t>749</w:t>
      </w:r>
      <w:r w:rsidR="007D06D6">
        <w:t xml:space="preserve"> </w:t>
      </w:r>
      <w:r w:rsidRPr="00060D24">
        <w:t xml:space="preserve">лв. за период от три </w:t>
      </w:r>
      <w:r w:rsidRPr="008E3475">
        <w:t>години (</w:t>
      </w:r>
      <w:r w:rsidR="00A827A0" w:rsidRPr="007013B5">
        <w:t>предходните три години към датата на подаване на проектното предложение/към датата на сключване на административния договор за</w:t>
      </w:r>
      <w:r w:rsidR="00A827A0" w:rsidRPr="0018520B">
        <w:t xml:space="preserve"> БФП</w:t>
      </w:r>
      <w:r w:rsidRPr="00EE7CE6">
        <w:t>)</w:t>
      </w:r>
      <w:r w:rsidR="00A827A0" w:rsidRPr="002778D8">
        <w:t>.</w:t>
      </w:r>
      <w:r w:rsidRPr="00232FAD">
        <w:t xml:space="preserve"> </w:t>
      </w:r>
    </w:p>
    <w:p w14:paraId="72121BB9"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8E3475">
        <w:t xml:space="preserve">- Таваните, посочени в чл. 3, параграф 2 на Регламент (ЕС)  </w:t>
      </w:r>
      <w:r w:rsidR="004A32BB" w:rsidRPr="008E3475">
        <w:t>2023</w:t>
      </w:r>
      <w:r w:rsidRPr="008E3475">
        <w:t>/</w:t>
      </w:r>
      <w:r w:rsidR="004A32BB" w:rsidRPr="008E3475">
        <w:t>2831</w:t>
      </w:r>
      <w:r w:rsidRPr="008E3475">
        <w:t xml:space="preserve">, се прилагат независимо от формата на помощта </w:t>
      </w:r>
      <w:r w:rsidRPr="008E3475">
        <w:rPr>
          <w:i/>
          <w:iCs/>
        </w:rPr>
        <w:t xml:space="preserve">de minimis </w:t>
      </w:r>
      <w:r w:rsidRPr="008E3475">
        <w:t xml:space="preserve">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w:t>
      </w:r>
      <w:r w:rsidRPr="007013B5">
        <w:t xml:space="preserve">Периодът от три </w:t>
      </w:r>
      <w:r w:rsidR="0033227A" w:rsidRPr="007013B5">
        <w:t xml:space="preserve">предходни </w:t>
      </w:r>
      <w:r w:rsidRPr="007013B5">
        <w:t xml:space="preserve">години се определя </w:t>
      </w:r>
      <w:r w:rsidR="0033227A" w:rsidRPr="007013B5">
        <w:t>спрямо датата на подаване на проектното предложение/датата на сключване на административния договор за БФП</w:t>
      </w:r>
      <w:r w:rsidRPr="007013B5">
        <w:t xml:space="preserve">. </w:t>
      </w:r>
      <w:r w:rsidR="0033227A" w:rsidRPr="007013B5">
        <w:t>За всяко ново предоставяне на помощ de minimis се взема предвид общият размер</w:t>
      </w:r>
      <w:r w:rsidR="0033227A" w:rsidRPr="0033227A">
        <w:t xml:space="preserve"> на помощта de minimis, предоставена през предходните 3 </w:t>
      </w:r>
      <w:r w:rsidR="0033227A" w:rsidRPr="0033227A">
        <w:lastRenderedPageBreak/>
        <w:t>години от момента на прилагане на законовото право за получаване на помощта de minimis, независимо от датата на плащането й</w:t>
      </w:r>
      <w:r w:rsidR="0033227A">
        <w:t xml:space="preserve">. </w:t>
      </w:r>
      <w:r w:rsidRPr="00060D24">
        <w:t xml:space="preserve">За целите на таваните, посочени в член 3, параграф 2 на Регламент (ЕС)  </w:t>
      </w:r>
      <w:r w:rsidR="004A32BB">
        <w:t>2023</w:t>
      </w:r>
      <w:r w:rsidRPr="00060D24">
        <w:t>/</w:t>
      </w:r>
      <w:r w:rsidR="004A32BB">
        <w:t>2831</w:t>
      </w:r>
      <w:r w:rsidRPr="00060D24">
        <w:t xml:space="preserve">, помощта се изразява като парични безвъзмездни средства. Всички използвани стойности са в брутно изражение, т.е. преди облагане с данъци или други такси. Когато с отпускането на нова помощ de minimis може да бъде надвишен съответният таван, никоя част от тази нова помощ не може да попада в приложното поле на Регламент (ЕС) </w:t>
      </w:r>
      <w:r w:rsidR="004A32BB">
        <w:t>2023</w:t>
      </w:r>
      <w:r w:rsidRPr="00060D24">
        <w:t>/</w:t>
      </w:r>
      <w:r w:rsidR="004A32BB">
        <w:t>2831</w:t>
      </w:r>
      <w:r w:rsidRPr="00060D24">
        <w:t>.</w:t>
      </w:r>
    </w:p>
    <w:p w14:paraId="3BBE7B73"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Размерът на предоставените минимални помощи се определя като сбор от помощта, за която се сключва договора/споразумението и получената минимална помощ от:</w:t>
      </w:r>
    </w:p>
    <w:p w14:paraId="1592AC58"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1. предприятието - </w:t>
      </w:r>
      <w:r w:rsidR="00010AF7" w:rsidRPr="00060D24">
        <w:t>частн</w:t>
      </w:r>
      <w:r w:rsidR="00010AF7">
        <w:t>о</w:t>
      </w:r>
      <w:r w:rsidR="00010AF7" w:rsidRPr="00060D24">
        <w:t xml:space="preserve"> </w:t>
      </w:r>
      <w:r w:rsidR="00010AF7">
        <w:t>училище</w:t>
      </w:r>
      <w:r w:rsidRPr="00060D24">
        <w:t>, ЮЛНЦ;</w:t>
      </w:r>
    </w:p>
    <w:p w14:paraId="36EA5CF9"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2.</w:t>
      </w:r>
      <w:r w:rsidR="00B83613">
        <w:t xml:space="preserve"> </w:t>
      </w:r>
      <w:r w:rsidRPr="00060D24">
        <w:t xml:space="preserve">предприятията, с които </w:t>
      </w:r>
      <w:r w:rsidR="00010AF7" w:rsidRPr="00060D24">
        <w:t>частн</w:t>
      </w:r>
      <w:r w:rsidR="00010AF7">
        <w:t>о</w:t>
      </w:r>
      <w:r w:rsidR="00010AF7" w:rsidRPr="00060D24">
        <w:t>т</w:t>
      </w:r>
      <w:r w:rsidR="00010AF7">
        <w:t>о</w:t>
      </w:r>
      <w:r w:rsidR="00010AF7" w:rsidRPr="00060D24">
        <w:t xml:space="preserve"> </w:t>
      </w:r>
      <w:r w:rsidR="00010AF7">
        <w:t>училище</w:t>
      </w:r>
      <w:r w:rsidRPr="00060D24">
        <w:t xml:space="preserve">, ЮЛНЦ, образува „едно и също предприятие“ по смисъла на чл. 2, пар. 2 на Регламент (ЕС) </w:t>
      </w:r>
      <w:r w:rsidR="004A32BB">
        <w:t>2023</w:t>
      </w:r>
      <w:r w:rsidRPr="00060D24">
        <w:t>/</w:t>
      </w:r>
      <w:r w:rsidR="004A32BB">
        <w:t>2831</w:t>
      </w:r>
      <w:r w:rsidRPr="00060D24">
        <w:t>;</w:t>
      </w:r>
    </w:p>
    <w:p w14:paraId="57FD8E5A"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3. всички предприятия, които са се влели, слели с или са придобити от някое от предприятията, образуващи „едно и също предприятие“ с </w:t>
      </w:r>
      <w:r w:rsidR="00010AF7" w:rsidRPr="00060D24">
        <w:t>частн</w:t>
      </w:r>
      <w:r w:rsidR="00010AF7">
        <w:t>ото</w:t>
      </w:r>
      <w:r w:rsidR="00010AF7" w:rsidRPr="00060D24">
        <w:t xml:space="preserve"> </w:t>
      </w:r>
      <w:r w:rsidR="00010AF7">
        <w:t>училище</w:t>
      </w:r>
      <w:r w:rsidRPr="00060D24">
        <w:t xml:space="preserve">, ЮЛНЦ, съгласно чл. 3, пар. 8 на Регламент (ЕС) </w:t>
      </w:r>
      <w:r w:rsidR="004A32BB">
        <w:t>2023</w:t>
      </w:r>
      <w:r w:rsidRPr="00060D24">
        <w:t>/</w:t>
      </w:r>
      <w:r w:rsidR="004A32BB">
        <w:t>2831</w:t>
      </w:r>
      <w:r w:rsidRPr="00060D24">
        <w:t>;</w:t>
      </w:r>
    </w:p>
    <w:p w14:paraId="354B00FE"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4. предприятията, образуващи „едно и също предприятие“ с  </w:t>
      </w:r>
      <w:r w:rsidR="00D73993" w:rsidRPr="00060D24">
        <w:t>частн</w:t>
      </w:r>
      <w:r w:rsidR="00D73993">
        <w:t>ото училище</w:t>
      </w:r>
      <w:r w:rsidRPr="00060D24">
        <w:t xml:space="preserve">, ЮЛНЦ, които са се възползвали от минимална помощ, получена преди разделяне или отделяне, съгласно </w:t>
      </w:r>
      <w:r w:rsidRPr="0033227A">
        <w:t>чл. 3, пар. 9</w:t>
      </w:r>
      <w:r w:rsidRPr="00060D24">
        <w:t xml:space="preserve"> от Регламент (ЕС) </w:t>
      </w:r>
      <w:r w:rsidR="004A32BB">
        <w:t>2023</w:t>
      </w:r>
      <w:r w:rsidRPr="00060D24">
        <w:t>/</w:t>
      </w:r>
      <w:r w:rsidR="004A32BB">
        <w:t>2831</w:t>
      </w:r>
      <w:r w:rsidRPr="00060D24">
        <w:t>.</w:t>
      </w:r>
    </w:p>
    <w:p w14:paraId="1971D223"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 смисъла на Регламент (ЕС) </w:t>
      </w:r>
      <w:r w:rsidR="004A32BB">
        <w:t>2023</w:t>
      </w:r>
      <w:r w:rsidRPr="00060D24">
        <w:t>/</w:t>
      </w:r>
      <w:r w:rsidR="004A32BB">
        <w:t>2831</w:t>
      </w:r>
      <w:r w:rsidRPr="00060D24">
        <w:t xml:space="preserve"> „едно и също предприятие“ означава всички предприятия, които поддържат помежду си поне един вид от следните взаимоотношения:</w:t>
      </w:r>
    </w:p>
    <w:p w14:paraId="3E975597"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а) дадено предприятие притежава мнозинството от гласовете на акционерите или съдружниците в друго предприятие;</w:t>
      </w:r>
    </w:p>
    <w:p w14:paraId="4EBB69A1"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06D03549"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7C98E54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10A15BC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w:t>
      </w:r>
    </w:p>
    <w:p w14:paraId="194B43CE"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Предприятия, които поддържат едно от тези взаимоотношения посредством физическо лице или група от действащи съвместно физически лица, също се считат за свързани предприятия. В този случай физическо лице се приравнява на предприятие за целите на Регламент (ЕС) </w:t>
      </w:r>
      <w:r w:rsidR="004A32BB">
        <w:t>2023</w:t>
      </w:r>
      <w:r w:rsidRPr="00060D24">
        <w:t>/</w:t>
      </w:r>
      <w:r w:rsidR="004A32BB">
        <w:t>2831</w:t>
      </w:r>
      <w:r w:rsidRPr="00060D24">
        <w:t>, само ако извършва икономическа дейност под някаква форма, т.е. е едноличен търговец и/или упражнява свободна професия и/или участва в управлението и контрола върху дейността на някое от предприятията.</w:t>
      </w:r>
    </w:p>
    <w:p w14:paraId="7774ED21" w14:textId="77777777" w:rsidR="00060D24" w:rsidRPr="00060D24" w:rsidRDefault="00D73993" w:rsidP="00060D24">
      <w:pPr>
        <w:pBdr>
          <w:top w:val="single" w:sz="4" w:space="1" w:color="auto"/>
          <w:left w:val="single" w:sz="4" w:space="13" w:color="auto"/>
          <w:bottom w:val="single" w:sz="4" w:space="1" w:color="auto"/>
          <w:right w:val="single" w:sz="4" w:space="4" w:color="auto"/>
        </w:pBdr>
        <w:spacing w:before="120"/>
        <w:jc w:val="both"/>
      </w:pPr>
      <w:r w:rsidRPr="00060D24">
        <w:lastRenderedPageBreak/>
        <w:t>Частн</w:t>
      </w:r>
      <w:r>
        <w:t>ото</w:t>
      </w:r>
      <w:r w:rsidRPr="00060D24">
        <w:t xml:space="preserve"> </w:t>
      </w:r>
      <w:r>
        <w:t>училище</w:t>
      </w:r>
      <w:r w:rsidR="00060D24" w:rsidRPr="00060D24">
        <w:t>, ЮЛНЦ,</w:t>
      </w:r>
      <w:r w:rsidR="00060D24" w:rsidRPr="00060D24" w:rsidDel="00130D69">
        <w:t xml:space="preserve"> </w:t>
      </w:r>
      <w:r w:rsidR="00060D24" w:rsidRPr="00060D24">
        <w:t xml:space="preserve">е недопустимо да получи минимална помощ по настоящата процедура, ако попада в забранителните режими на помощ в съответствие с Регламент (ЕС) </w:t>
      </w:r>
      <w:r w:rsidR="004A32BB">
        <w:t>2023</w:t>
      </w:r>
      <w:r w:rsidR="00060D24" w:rsidRPr="00060D24">
        <w:t>/</w:t>
      </w:r>
      <w:r w:rsidR="004A32BB">
        <w:t>2831</w:t>
      </w:r>
      <w:r w:rsidR="00060D24" w:rsidRPr="00060D24">
        <w:t>:</w:t>
      </w:r>
    </w:p>
    <w:p w14:paraId="5BBA0D23" w14:textId="77777777" w:rsid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а) помощите, предоставяни на предприятия</w:t>
      </w:r>
      <w:r w:rsidR="0033227A" w:rsidRPr="0033227A">
        <w:t xml:space="preserve"> с дейност в първичното производство на продукти от риболов и аквакултури</w:t>
      </w:r>
      <w:r w:rsidR="0033227A">
        <w:t xml:space="preserve">; </w:t>
      </w:r>
    </w:p>
    <w:p w14:paraId="0B96E530" w14:textId="77777777" w:rsidR="0033227A" w:rsidRPr="00060D24" w:rsidRDefault="0033227A" w:rsidP="00060D24">
      <w:pPr>
        <w:pBdr>
          <w:top w:val="single" w:sz="4" w:space="1" w:color="auto"/>
          <w:left w:val="single" w:sz="4" w:space="13" w:color="auto"/>
          <w:bottom w:val="single" w:sz="4" w:space="1" w:color="auto"/>
          <w:right w:val="single" w:sz="4" w:space="4" w:color="auto"/>
        </w:pBdr>
        <w:spacing w:before="120"/>
        <w:jc w:val="both"/>
      </w:pPr>
      <w:r>
        <w:t>б)</w:t>
      </w:r>
      <w:r w:rsidRPr="0033227A">
        <w:t xml:space="preserve"> помощите, предоставени на предприятия, осъществяващи дейност в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14:paraId="36E32460" w14:textId="77777777" w:rsidR="00060D24" w:rsidRPr="00060D24" w:rsidRDefault="0033227A" w:rsidP="00060D24">
      <w:pPr>
        <w:pBdr>
          <w:top w:val="single" w:sz="4" w:space="1" w:color="auto"/>
          <w:left w:val="single" w:sz="4" w:space="13" w:color="auto"/>
          <w:bottom w:val="single" w:sz="4" w:space="1" w:color="auto"/>
          <w:right w:val="single" w:sz="4" w:space="4" w:color="auto"/>
        </w:pBdr>
        <w:spacing w:before="120"/>
        <w:jc w:val="both"/>
      </w:pPr>
      <w:r>
        <w:t>в</w:t>
      </w:r>
      <w:r w:rsidR="00060D24" w:rsidRPr="00060D24">
        <w:t>) помощите, предоставяни на предприятия, които извършват дейност в областта на първичното производство на селскостопански продукти;</w:t>
      </w:r>
    </w:p>
    <w:p w14:paraId="42F74AB8" w14:textId="77777777" w:rsidR="00060D24" w:rsidRPr="00060D24" w:rsidRDefault="0033227A" w:rsidP="00060D24">
      <w:pPr>
        <w:pBdr>
          <w:top w:val="single" w:sz="4" w:space="1" w:color="auto"/>
          <w:left w:val="single" w:sz="4" w:space="13" w:color="auto"/>
          <w:bottom w:val="single" w:sz="4" w:space="1" w:color="auto"/>
          <w:right w:val="single" w:sz="4" w:space="4" w:color="auto"/>
        </w:pBdr>
        <w:spacing w:before="120"/>
        <w:jc w:val="both"/>
      </w:pPr>
      <w:r>
        <w:t>г</w:t>
      </w:r>
      <w:r w:rsidR="00060D24" w:rsidRPr="00060D24">
        <w:t xml:space="preserve">) помощите, предоставяни на предприятия, които извършват дейности в преработката </w:t>
      </w:r>
      <w:r w:rsidR="00DF65F1" w:rsidRPr="00DF65F1">
        <w:t>на селскостопански продукти</w:t>
      </w:r>
      <w:r w:rsidR="00DF65F1">
        <w:t xml:space="preserve"> </w:t>
      </w:r>
      <w:r w:rsidR="00060D24" w:rsidRPr="00060D24">
        <w:t xml:space="preserve">и търговията </w:t>
      </w:r>
      <w:r>
        <w:t>с тях</w:t>
      </w:r>
      <w:r w:rsidR="00060D24" w:rsidRPr="00060D24">
        <w:t xml:space="preserve">, в </w:t>
      </w:r>
      <w:r>
        <w:t xml:space="preserve">един от </w:t>
      </w:r>
      <w:r w:rsidR="00060D24" w:rsidRPr="00060D24">
        <w:t>следните случаи:</w:t>
      </w:r>
    </w:p>
    <w:p w14:paraId="23FA5880"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i) когато размерът на помощта е определен въз основа на </w:t>
      </w:r>
      <w:r w:rsidR="0033227A" w:rsidRPr="00060D24">
        <w:t>цен</w:t>
      </w:r>
      <w:r w:rsidR="0033227A">
        <w:t>ата</w:t>
      </w:r>
      <w:r w:rsidR="0033227A" w:rsidRPr="00060D24">
        <w:t xml:space="preserve"> </w:t>
      </w:r>
      <w:r w:rsidRPr="00060D24">
        <w:t xml:space="preserve">или </w:t>
      </w:r>
      <w:r w:rsidR="0033227A" w:rsidRPr="00060D24">
        <w:t>количеств</w:t>
      </w:r>
      <w:r w:rsidR="0033227A">
        <w:t>ото</w:t>
      </w:r>
      <w:r w:rsidR="0033227A" w:rsidRPr="00060D24">
        <w:t xml:space="preserve"> </w:t>
      </w:r>
      <w:r w:rsidRPr="00060D24">
        <w:t xml:space="preserve">на </w:t>
      </w:r>
      <w:r w:rsidR="0033227A" w:rsidRPr="00060D24">
        <w:t>т</w:t>
      </w:r>
      <w:r w:rsidR="0033227A">
        <w:t>е</w:t>
      </w:r>
      <w:r w:rsidR="0033227A" w:rsidRPr="00060D24">
        <w:t xml:space="preserve">зи </w:t>
      </w:r>
      <w:r w:rsidRPr="00060D24">
        <w:t xml:space="preserve">продукти, </w:t>
      </w:r>
      <w:r w:rsidR="0033227A">
        <w:t xml:space="preserve">които се </w:t>
      </w:r>
      <w:r w:rsidR="0033227A" w:rsidRPr="00060D24">
        <w:t>изкупува</w:t>
      </w:r>
      <w:r w:rsidR="0033227A">
        <w:t>т</w:t>
      </w:r>
      <w:r w:rsidR="0033227A" w:rsidRPr="00060D24">
        <w:t xml:space="preserve"> </w:t>
      </w:r>
      <w:r w:rsidRPr="00060D24">
        <w:t xml:space="preserve">от първичните производители или </w:t>
      </w:r>
      <w:r w:rsidR="0033227A">
        <w:t xml:space="preserve">се </w:t>
      </w:r>
      <w:r w:rsidR="0033227A" w:rsidRPr="00060D24">
        <w:t>предлага</w:t>
      </w:r>
      <w:r w:rsidR="0033227A">
        <w:t>т</w:t>
      </w:r>
      <w:r w:rsidR="0033227A" w:rsidRPr="00060D24">
        <w:t xml:space="preserve"> </w:t>
      </w:r>
      <w:r w:rsidRPr="00060D24">
        <w:t>на пазара от съответните предприятия;</w:t>
      </w:r>
    </w:p>
    <w:p w14:paraId="5621F04E" w14:textId="77777777" w:rsid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ii) когато помощта е </w:t>
      </w:r>
      <w:r w:rsidR="001D7A99">
        <w:t>об</w:t>
      </w:r>
      <w:r w:rsidR="001D7A99" w:rsidRPr="00060D24">
        <w:t xml:space="preserve">вързана </w:t>
      </w:r>
      <w:r w:rsidRPr="00060D24">
        <w:t>със задължението да бъде прехвърлена частично или изцяло на първичните производители</w:t>
      </w:r>
      <w:r w:rsidR="001D7A99">
        <w:t>;</w:t>
      </w:r>
    </w:p>
    <w:p w14:paraId="6F0CB6F3" w14:textId="77777777" w:rsidR="001D7A99" w:rsidRDefault="001D7A99" w:rsidP="00060D24">
      <w:pPr>
        <w:pBdr>
          <w:top w:val="single" w:sz="4" w:space="1" w:color="auto"/>
          <w:left w:val="single" w:sz="4" w:space="13" w:color="auto"/>
          <w:bottom w:val="single" w:sz="4" w:space="1" w:color="auto"/>
          <w:right w:val="single" w:sz="4" w:space="4" w:color="auto"/>
        </w:pBdr>
        <w:spacing w:before="120"/>
        <w:jc w:val="both"/>
      </w:pPr>
      <w:r>
        <w:t>д)</w:t>
      </w:r>
      <w:r w:rsidRPr="001D7A99">
        <w:t xml:space="preserve"> помощите, отпуснати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55D38794" w14:textId="77777777" w:rsidR="001D7A99" w:rsidRPr="00060D24" w:rsidRDefault="001D7A99" w:rsidP="00060D24">
      <w:pPr>
        <w:pBdr>
          <w:top w:val="single" w:sz="4" w:space="1" w:color="auto"/>
          <w:left w:val="single" w:sz="4" w:space="13" w:color="auto"/>
          <w:bottom w:val="single" w:sz="4" w:space="1" w:color="auto"/>
          <w:right w:val="single" w:sz="4" w:space="4" w:color="auto"/>
        </w:pBdr>
        <w:spacing w:before="120"/>
        <w:jc w:val="both"/>
      </w:pPr>
      <w:r>
        <w:t>е)</w:t>
      </w:r>
      <w:r w:rsidRPr="001D7A99">
        <w:t xml:space="preserve"> помощите, обвързани с използването на местни стоки и услуги вместо вносни стоки и услуги</w:t>
      </w:r>
      <w:r>
        <w:t>.</w:t>
      </w:r>
    </w:p>
    <w:p w14:paraId="2F0529FC"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чл. 2, т. 1 от Регламент (ЕС) </w:t>
      </w:r>
      <w:r w:rsidR="004A32BB">
        <w:t>2023</w:t>
      </w:r>
      <w:r w:rsidRPr="00060D24">
        <w:t>/</w:t>
      </w:r>
      <w:r w:rsidR="004A32BB">
        <w:t>2831</w:t>
      </w:r>
      <w:r w:rsidRPr="00060D24">
        <w:t>:</w:t>
      </w:r>
    </w:p>
    <w:p w14:paraId="74286DA1"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а) „селскостопански продукти“ са продукти, изброени в приложение I към Договора, с изключение на продуктите </w:t>
      </w:r>
      <w:r w:rsidR="001D7A99">
        <w:t>от риболов</w:t>
      </w:r>
      <w:r w:rsidRPr="00060D24">
        <w:t xml:space="preserve"> и аквакултури, </w:t>
      </w:r>
      <w:r w:rsidR="001D7A99">
        <w:t>попадащи</w:t>
      </w:r>
      <w:r w:rsidR="001D7A99" w:rsidRPr="00060D24">
        <w:t xml:space="preserve"> </w:t>
      </w:r>
      <w:r w:rsidRPr="00060D24">
        <w:t>в приложното поле на Регламент (</w:t>
      </w:r>
      <w:r w:rsidR="001D7A99">
        <w:t>ЕС</w:t>
      </w:r>
      <w:r w:rsidRPr="00060D24">
        <w:t xml:space="preserve">) № </w:t>
      </w:r>
      <w:r w:rsidR="001D7A99" w:rsidRPr="00060D24">
        <w:t>1</w:t>
      </w:r>
      <w:r w:rsidR="001D7A99">
        <w:t>379</w:t>
      </w:r>
      <w:r w:rsidRPr="00060D24">
        <w:t>/</w:t>
      </w:r>
      <w:r w:rsidR="001D7A99" w:rsidRPr="00060D24">
        <w:t>20</w:t>
      </w:r>
      <w:r w:rsidR="001D7A99">
        <w:t>13</w:t>
      </w:r>
      <w:r w:rsidRPr="00060D24">
        <w:t>;</w:t>
      </w:r>
    </w:p>
    <w:p w14:paraId="4E02A576"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б) </w:t>
      </w:r>
      <w:r w:rsidR="001D7A99" w:rsidRPr="001D7A99">
        <w:t>„първично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14:paraId="56926FF7" w14:textId="77777777" w:rsid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в) </w:t>
      </w:r>
      <w:r w:rsidR="001D7A99" w:rsidRPr="001D7A99">
        <w:t>„преработка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w:t>
      </w:r>
      <w:r w:rsidRPr="00060D24">
        <w:t xml:space="preserve"> </w:t>
      </w:r>
    </w:p>
    <w:p w14:paraId="4ADE373D" w14:textId="77777777" w:rsidR="001D7A99" w:rsidRDefault="001D7A99" w:rsidP="00060D24">
      <w:pPr>
        <w:pBdr>
          <w:top w:val="single" w:sz="4" w:space="1" w:color="auto"/>
          <w:left w:val="single" w:sz="4" w:space="13" w:color="auto"/>
          <w:bottom w:val="single" w:sz="4" w:space="1" w:color="auto"/>
          <w:right w:val="single" w:sz="4" w:space="4" w:color="auto"/>
        </w:pBdr>
        <w:spacing w:before="120"/>
        <w:jc w:val="both"/>
      </w:pPr>
      <w:r>
        <w:t xml:space="preserve">г) </w:t>
      </w:r>
      <w:r w:rsidRPr="001D7A99">
        <w:t>„търговия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14:paraId="49F9F733" w14:textId="77777777" w:rsidR="001D7A99" w:rsidRDefault="001D7A99" w:rsidP="00060D24">
      <w:pPr>
        <w:pBdr>
          <w:top w:val="single" w:sz="4" w:space="1" w:color="auto"/>
          <w:left w:val="single" w:sz="4" w:space="13" w:color="auto"/>
          <w:bottom w:val="single" w:sz="4" w:space="1" w:color="auto"/>
          <w:right w:val="single" w:sz="4" w:space="4" w:color="auto"/>
        </w:pBdr>
        <w:spacing w:before="120"/>
        <w:jc w:val="both"/>
      </w:pPr>
      <w:r>
        <w:lastRenderedPageBreak/>
        <w:t>д)</w:t>
      </w:r>
      <w:r w:rsidRPr="001D7A99">
        <w:t xml:space="preserve"> „продукти от риболов и аквакултури“ означава продуктите, определени в член 5, букви а) и б) от Регламент (ЕС) № 1379/2013;</w:t>
      </w:r>
    </w:p>
    <w:p w14:paraId="158D49C7" w14:textId="77777777" w:rsidR="001D7A99" w:rsidRDefault="001D7A99" w:rsidP="00060D24">
      <w:pPr>
        <w:pBdr>
          <w:top w:val="single" w:sz="4" w:space="1" w:color="auto"/>
          <w:left w:val="single" w:sz="4" w:space="13" w:color="auto"/>
          <w:bottom w:val="single" w:sz="4" w:space="1" w:color="auto"/>
          <w:right w:val="single" w:sz="4" w:space="4" w:color="auto"/>
        </w:pBdr>
        <w:spacing w:before="120"/>
        <w:jc w:val="both"/>
      </w:pPr>
      <w:r>
        <w:t>е)</w:t>
      </w:r>
      <w:r w:rsidRPr="001D7A99">
        <w:t xml:space="preserve"> „първично производство на продукти от риболов и аквакултури“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филетиране или замразяване, както и първата продажба на прекупвачи или преработватели;</w:t>
      </w:r>
    </w:p>
    <w:p w14:paraId="6854207F" w14:textId="77777777" w:rsidR="001D7A99" w:rsidRPr="00060D24" w:rsidRDefault="001D7A99" w:rsidP="00060D24">
      <w:pPr>
        <w:pBdr>
          <w:top w:val="single" w:sz="4" w:space="1" w:color="auto"/>
          <w:left w:val="single" w:sz="4" w:space="13" w:color="auto"/>
          <w:bottom w:val="single" w:sz="4" w:space="1" w:color="auto"/>
          <w:right w:val="single" w:sz="4" w:space="4" w:color="auto"/>
        </w:pBdr>
        <w:spacing w:before="120"/>
        <w:jc w:val="both"/>
      </w:pPr>
      <w:r>
        <w:t>ж)</w:t>
      </w:r>
      <w:r w:rsidRPr="001D7A99">
        <w:t xml:space="preserve"> „преработка и предлагане на пазара на продукти от риболов и аквакултури“ 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p>
    <w:p w14:paraId="7E6F93B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 процедурата не се предоставя помощ на </w:t>
      </w:r>
      <w:bookmarkStart w:id="3" w:name="_Hlk142487371"/>
      <w:r w:rsidR="00D73993" w:rsidRPr="00060D24">
        <w:t>частн</w:t>
      </w:r>
      <w:r w:rsidR="00D73993">
        <w:t>о</w:t>
      </w:r>
      <w:r w:rsidR="00D73993" w:rsidRPr="00060D24">
        <w:t xml:space="preserve"> </w:t>
      </w:r>
      <w:r w:rsidR="00D73993">
        <w:t>училище</w:t>
      </w:r>
      <w:r w:rsidRPr="00060D24">
        <w:t xml:space="preserve">, ЮЛНЦ, </w:t>
      </w:r>
      <w:bookmarkEnd w:id="3"/>
      <w:r w:rsidRPr="00060D24">
        <w:t xml:space="preserve">когато отпускането й води до нарушаване на разпоредбите на Регламент (ЕС) </w:t>
      </w:r>
      <w:r w:rsidR="00847DF6">
        <w:t>2023</w:t>
      </w:r>
      <w:r w:rsidRPr="00060D24">
        <w:t>/</w:t>
      </w:r>
      <w:r w:rsidR="00847DF6" w:rsidRPr="00060D24">
        <w:t>2</w:t>
      </w:r>
      <w:r w:rsidR="00847DF6">
        <w:t>831</w:t>
      </w:r>
      <w:r w:rsidR="00847DF6" w:rsidRPr="00060D24">
        <w:t xml:space="preserve"> </w:t>
      </w:r>
      <w:r w:rsidRPr="00060D24">
        <w:t xml:space="preserve">г., включително на чл. 1, букви </w:t>
      </w:r>
      <w:r w:rsidR="003B3B8B">
        <w:t>д</w:t>
      </w:r>
      <w:r w:rsidRPr="00060D24">
        <w:t xml:space="preserve">) и </w:t>
      </w:r>
      <w:r w:rsidR="003B3B8B">
        <w:t>е</w:t>
      </w:r>
      <w:r w:rsidRPr="00060D24">
        <w:t>) от Регламента.</w:t>
      </w:r>
    </w:p>
    <w:p w14:paraId="198366D8"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Когато дадено предприятие упражнява дейност в секторите, посочени </w:t>
      </w:r>
      <w:r w:rsidR="003B3B8B">
        <w:t>в чл.</w:t>
      </w:r>
      <w:r w:rsidR="00A90616">
        <w:rPr>
          <w:lang w:val="en-US"/>
        </w:rPr>
        <w:t xml:space="preserve"> </w:t>
      </w:r>
      <w:r w:rsidR="003B3B8B">
        <w:t>1, чл.</w:t>
      </w:r>
      <w:r w:rsidR="00A90616">
        <w:rPr>
          <w:lang w:val="en-US"/>
        </w:rPr>
        <w:t xml:space="preserve"> </w:t>
      </w:r>
      <w:r w:rsidR="003B3B8B">
        <w:t>2 т</w:t>
      </w:r>
      <w:r w:rsidR="00A90616">
        <w:rPr>
          <w:lang w:val="en-US"/>
        </w:rPr>
        <w:t xml:space="preserve">. </w:t>
      </w:r>
      <w:r w:rsidR="003B3B8B">
        <w:t>1</w:t>
      </w:r>
      <w:r w:rsidRPr="00060D24">
        <w:t xml:space="preserve">, както и в един или повече от секторите или дейностите, обхванати от Регламент (ЕС) </w:t>
      </w:r>
      <w:r w:rsidR="003B3B8B">
        <w:t>2023</w:t>
      </w:r>
      <w:r w:rsidRPr="00060D24">
        <w:t>/</w:t>
      </w:r>
      <w:r w:rsidR="003B3B8B" w:rsidRPr="00060D24">
        <w:t>2</w:t>
      </w:r>
      <w:r w:rsidR="003B3B8B">
        <w:t>831</w:t>
      </w:r>
      <w:r w:rsidR="003B3B8B" w:rsidRPr="00060D24">
        <w:t xml:space="preserve"> </w:t>
      </w:r>
      <w:r w:rsidRPr="00060D24">
        <w:t xml:space="preserve">г., то Регламентът се прилага спрямо помощта, предоставяна за съответните един или повече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w:t>
      </w:r>
      <w:r w:rsidRPr="00060D24">
        <w:rPr>
          <w:i/>
          <w:iCs/>
        </w:rPr>
        <w:t>de minimis</w:t>
      </w:r>
      <w:r w:rsidRPr="00060D24">
        <w:t xml:space="preserve">, предоставена съгласно Регламент (ЕС) </w:t>
      </w:r>
      <w:r w:rsidR="003B3B8B">
        <w:t>2023</w:t>
      </w:r>
      <w:r w:rsidRPr="00060D24">
        <w:t>/</w:t>
      </w:r>
      <w:r w:rsidR="003B3B8B" w:rsidRPr="00060D24">
        <w:t>2</w:t>
      </w:r>
      <w:r w:rsidR="003B3B8B">
        <w:t>831</w:t>
      </w:r>
      <w:r w:rsidR="003B3B8B" w:rsidRPr="00060D24">
        <w:t xml:space="preserve"> </w:t>
      </w:r>
      <w:r w:rsidRPr="00060D24">
        <w:t>г.</w:t>
      </w:r>
    </w:p>
    <w:p w14:paraId="610D3453" w14:textId="54D0E2B8"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При определяне на допустимостта съгласно посочения критерий за натрупване на етапа на оценка на проектното предложение се прави проверка на информацията, вписана в </w:t>
      </w:r>
      <w:r w:rsidR="00812457" w:rsidRPr="00812457">
        <w:t>„Регистър на Европейската комисия за осигуряване на прозрачност на предоставените минимални помощи“ - eAid Register (</w:t>
      </w:r>
      <w:hyperlink r:id="rId9" w:history="1">
        <w:r w:rsidR="00812457" w:rsidRPr="00B00B3B">
          <w:rPr>
            <w:rStyle w:val="Hyperlink"/>
          </w:rPr>
          <w:t>https://aid-register.ec.europa.eu/de-minimis</w:t>
        </w:r>
      </w:hyperlink>
      <w:r w:rsidR="00812457" w:rsidRPr="00812457">
        <w:t>)</w:t>
      </w:r>
      <w:r w:rsidR="00812457">
        <w:rPr>
          <w:rStyle w:val="FootnoteReference"/>
        </w:rPr>
        <w:footnoteReference w:id="9"/>
      </w:r>
      <w:r w:rsidR="00812457">
        <w:rPr>
          <w:lang w:val="en-US"/>
        </w:rPr>
        <w:t xml:space="preserve"> /</w:t>
      </w:r>
      <w:r w:rsidRPr="00060D24">
        <w:t xml:space="preserve"> „Регистър на минималните помощи“ - </w:t>
      </w:r>
      <w:hyperlink r:id="rId10" w:history="1">
        <w:r w:rsidRPr="00060D24">
          <w:rPr>
            <w:rStyle w:val="Hyperlink"/>
          </w:rPr>
          <w:t>http</w:t>
        </w:r>
        <w:r w:rsidRPr="00060D24">
          <w:rPr>
            <w:rStyle w:val="Hyperlink"/>
            <w:lang w:val="en-US"/>
          </w:rPr>
          <w:t>s</w:t>
        </w:r>
        <w:r w:rsidRPr="00060D24">
          <w:rPr>
            <w:rStyle w:val="Hyperlink"/>
          </w:rPr>
          <w:t>://minimis.minfin.bg</w:t>
        </w:r>
      </w:hyperlink>
      <w:r w:rsidR="007746BE">
        <w:rPr>
          <w:rStyle w:val="FootnoteReference"/>
          <w:color w:val="0000FF"/>
          <w:u w:val="single"/>
        </w:rPr>
        <w:footnoteReference w:id="10"/>
      </w:r>
      <w:r w:rsidRPr="00060D24">
        <w:t xml:space="preserve">, по отношение на </w:t>
      </w:r>
      <w:r w:rsidR="00030879" w:rsidRPr="00060D24">
        <w:t>частн</w:t>
      </w:r>
      <w:r w:rsidR="00030879">
        <w:t>ото</w:t>
      </w:r>
      <w:r w:rsidR="00030879" w:rsidRPr="00060D24">
        <w:t xml:space="preserve"> </w:t>
      </w:r>
      <w:r w:rsidR="00030879">
        <w:t>училище</w:t>
      </w:r>
      <w:r w:rsidRPr="00060D24">
        <w:t xml:space="preserve">, ЮЛНЦ. Допълнително, преди сключване на административния договор за БФП, както и преди всяко плащане УО на ПО извършва съпоставка на данните в </w:t>
      </w:r>
      <w:r w:rsidR="00F87F4F" w:rsidRPr="00F87F4F">
        <w:t>„Регистър на Европейската комисия за осигуряване на прозрачност на предоставените минимални помощи“ - eAid Register (</w:t>
      </w:r>
      <w:hyperlink r:id="rId11" w:history="1">
        <w:r w:rsidR="00F87F4F" w:rsidRPr="00B00B3B">
          <w:rPr>
            <w:rStyle w:val="Hyperlink"/>
          </w:rPr>
          <w:t>https://aid-register.ec.europa.eu/de-minimis</w:t>
        </w:r>
      </w:hyperlink>
      <w:r w:rsidR="00F87F4F" w:rsidRPr="00F87F4F">
        <w:t>)</w:t>
      </w:r>
      <w:r w:rsidR="00F87F4F">
        <w:t>/</w:t>
      </w:r>
      <w:r w:rsidRPr="00060D24">
        <w:t xml:space="preserve">информационна система „Регистър на минималните помощи” - </w:t>
      </w:r>
      <w:hyperlink r:id="rId12" w:history="1">
        <w:r w:rsidRPr="00060D24">
          <w:rPr>
            <w:rStyle w:val="Hyperlink"/>
          </w:rPr>
          <w:t>http</w:t>
        </w:r>
        <w:r w:rsidRPr="00060D24">
          <w:rPr>
            <w:rStyle w:val="Hyperlink"/>
            <w:lang w:val="en-US"/>
          </w:rPr>
          <w:t>s</w:t>
        </w:r>
        <w:r w:rsidRPr="00060D24">
          <w:rPr>
            <w:rStyle w:val="Hyperlink"/>
          </w:rPr>
          <w:t>://minimis.minfin.bg</w:t>
        </w:r>
      </w:hyperlink>
      <w:r w:rsidRPr="00060D24">
        <w:t xml:space="preserve"> и декларациите за минимални помощи, предоставени от </w:t>
      </w:r>
      <w:r w:rsidR="00186F45" w:rsidRPr="00060D24">
        <w:t>частн</w:t>
      </w:r>
      <w:r w:rsidR="00186F45">
        <w:t>ото</w:t>
      </w:r>
      <w:r w:rsidR="00186F45" w:rsidRPr="00060D24">
        <w:t xml:space="preserve"> </w:t>
      </w:r>
      <w:r w:rsidR="00186F45">
        <w:t>училище</w:t>
      </w:r>
      <w:r w:rsidRPr="00060D24">
        <w:t>, ЮЛНЦ, по отношение на получените минимални помощи.</w:t>
      </w:r>
    </w:p>
    <w:p w14:paraId="529D3569" w14:textId="67CD8152"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За да удостоверят, че осъществяват икономическата си дейност в допустимите сектори, </w:t>
      </w:r>
      <w:r w:rsidR="00101A92" w:rsidRPr="00060D24">
        <w:t>частн</w:t>
      </w:r>
      <w:r w:rsidR="00101A92">
        <w:t>ото</w:t>
      </w:r>
      <w:r w:rsidR="00101A92" w:rsidRPr="00060D24">
        <w:t xml:space="preserve"> </w:t>
      </w:r>
      <w:r w:rsidR="00101A92">
        <w:t>училище</w:t>
      </w:r>
      <w:r w:rsidRPr="00060D24">
        <w:t xml:space="preserve">, ЮЛНЦ, следва да посочат в </w:t>
      </w:r>
      <w:r w:rsidRPr="00060D24">
        <w:rPr>
          <w:b/>
          <w:bCs/>
        </w:rPr>
        <w:t>Декларацията за минимални помощи</w:t>
      </w:r>
      <w:r w:rsidRPr="00060D24">
        <w:t xml:space="preserve"> (</w:t>
      </w:r>
      <w:r w:rsidRPr="00060D24">
        <w:rPr>
          <w:i/>
          <w:iCs/>
        </w:rPr>
        <w:t xml:space="preserve">Приложение </w:t>
      </w:r>
      <w:r w:rsidRPr="001007CA">
        <w:rPr>
          <w:i/>
          <w:iCs/>
          <w:lang w:val="en-US"/>
        </w:rPr>
        <w:t>V</w:t>
      </w:r>
      <w:r w:rsidR="00662C3F" w:rsidRPr="001007CA">
        <w:rPr>
          <w:i/>
          <w:iCs/>
          <w:lang w:val="en-US"/>
        </w:rPr>
        <w:t>I</w:t>
      </w:r>
      <w:r w:rsidRPr="00060D24">
        <w:rPr>
          <w:i/>
          <w:iCs/>
        </w:rPr>
        <w:t xml:space="preserve"> към Условията </w:t>
      </w:r>
      <w:r w:rsidRPr="00896C55">
        <w:rPr>
          <w:i/>
          <w:iCs/>
        </w:rPr>
        <w:t xml:space="preserve">за </w:t>
      </w:r>
      <w:r w:rsidR="00AD75CF" w:rsidRPr="00896C55">
        <w:rPr>
          <w:i/>
          <w:iCs/>
        </w:rPr>
        <w:t>кандидатстване</w:t>
      </w:r>
      <w:r w:rsidRPr="00060D24">
        <w:t>) кода на основната си икономическа дейност. Кодът се определя въз основа на данните за организацията за пoследната приключила финансова година към датата на кандидатстване за включване в дейности по проекта. За определяне на допустимостта се използва Класификация на икономическите дейности КИД-20</w:t>
      </w:r>
      <w:r w:rsidR="00752349">
        <w:t>25</w:t>
      </w:r>
      <w:r w:rsidRPr="00060D24">
        <w:t xml:space="preserve"> - </w:t>
      </w:r>
      <w:hyperlink r:id="rId13" w:history="1">
        <w:r w:rsidR="00752349" w:rsidRPr="00B00B3B">
          <w:rPr>
            <w:rStyle w:val="Hyperlink"/>
          </w:rPr>
          <w:t>https://www.nsi.bg/sites/default/files/files/publications/KID-2025.pdf</w:t>
        </w:r>
      </w:hyperlink>
      <w:r w:rsidR="00752349" w:rsidRPr="00E50F6F">
        <w:t xml:space="preserve"> </w:t>
      </w:r>
      <w:r w:rsidRPr="00060D24">
        <w:t>.</w:t>
      </w:r>
    </w:p>
    <w:p w14:paraId="7416CE24"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lastRenderedPageBreak/>
        <w:t xml:space="preserve">Допустимостта на </w:t>
      </w:r>
      <w:r w:rsidR="00101A92" w:rsidRPr="00060D24">
        <w:t>частн</w:t>
      </w:r>
      <w:r w:rsidR="00101A92">
        <w:t>ото</w:t>
      </w:r>
      <w:r w:rsidR="00101A92" w:rsidRPr="00060D24">
        <w:t xml:space="preserve"> </w:t>
      </w:r>
      <w:r w:rsidR="00101A92">
        <w:t>училище</w:t>
      </w:r>
      <w:r w:rsidRPr="00060D24">
        <w:t xml:space="preserve">, ЮЛНЦ, се удостоверява посредством декларираните данни в Декларацията за минимални помощи и се проверява от УО на ПО към момента на сключване на договор за БФП/ от </w:t>
      </w:r>
      <w:bookmarkStart w:id="4" w:name="_Hlk142487562"/>
      <w:r w:rsidR="003D7AA8" w:rsidRPr="00060D24">
        <w:t>частн</w:t>
      </w:r>
      <w:r w:rsidR="003D7AA8">
        <w:t>ото</w:t>
      </w:r>
      <w:r w:rsidR="003D7AA8" w:rsidRPr="00060D24">
        <w:t xml:space="preserve"> </w:t>
      </w:r>
      <w:r w:rsidR="003D7AA8">
        <w:t>училище</w:t>
      </w:r>
      <w:r w:rsidRPr="00060D24">
        <w:t>, ЮЛНЦ</w:t>
      </w:r>
      <w:bookmarkEnd w:id="4"/>
      <w:r w:rsidRPr="00060D24">
        <w:t>.</w:t>
      </w:r>
      <w:r w:rsidRPr="00060D24" w:rsidDel="00230251">
        <w:t xml:space="preserve"> </w:t>
      </w:r>
    </w:p>
    <w:p w14:paraId="29EF227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Помощта </w:t>
      </w:r>
      <w:r w:rsidRPr="00060D24">
        <w:rPr>
          <w:i/>
          <w:iCs/>
        </w:rPr>
        <w:t>de minimis</w:t>
      </w:r>
      <w:r w:rsidRPr="00060D24">
        <w:t xml:space="preserve">, предоставена съгласно Регламент (ЕС) </w:t>
      </w:r>
      <w:r w:rsidR="00914472">
        <w:t>2023</w:t>
      </w:r>
      <w:r w:rsidRPr="00060D24">
        <w:t>/</w:t>
      </w:r>
      <w:r w:rsidR="00914472">
        <w:t>2831</w:t>
      </w:r>
      <w:r w:rsidRPr="00060D24">
        <w:t xml:space="preserve">, може да се натрупва с минимална помощ, предоставена съгласно </w:t>
      </w:r>
      <w:bookmarkStart w:id="5" w:name="_Hlk182571690"/>
      <w:r w:rsidR="00900D07" w:rsidRPr="00900D07">
        <w:t xml:space="preserve">Регламент (ЕС) </w:t>
      </w:r>
      <w:r w:rsidR="00EF0C3E" w:rsidRPr="00EF0C3E">
        <w:t xml:space="preserve">2024/3118 на Комисията от 10 декември 2024 г. за изменение на Регламент (ЕС) </w:t>
      </w:r>
      <w:r w:rsidR="00900D07" w:rsidRPr="00900D07">
        <w:t>№</w:t>
      </w:r>
      <w:r w:rsidR="0037105F">
        <w:rPr>
          <w:lang w:val="en-US"/>
        </w:rPr>
        <w:t xml:space="preserve"> </w:t>
      </w:r>
      <w:r w:rsidR="00900D07" w:rsidRPr="00900D07">
        <w:t>1407/2013</w:t>
      </w:r>
      <w:r w:rsidR="00900D07">
        <w:t xml:space="preserve"> и </w:t>
      </w:r>
      <w:bookmarkEnd w:id="5"/>
      <w:r w:rsidRPr="00060D24">
        <w:t xml:space="preserve">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r w:rsidRPr="00060D24">
        <w:rPr>
          <w:i/>
          <w:iCs/>
        </w:rPr>
        <w:t>de minimis</w:t>
      </w:r>
      <w:r w:rsidRPr="00060D24">
        <w:t xml:space="preserve"> в селскостопанския сектор (ОВ L 352 от 24.12.2013 г.)</w:t>
      </w:r>
      <w:r w:rsidR="00900D07">
        <w:t>,</w:t>
      </w:r>
      <w:r w:rsidRPr="00060D24">
        <w:t xml:space="preserve">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r w:rsidRPr="00060D24">
        <w:rPr>
          <w:i/>
          <w:iCs/>
        </w:rPr>
        <w:t>de minimis</w:t>
      </w:r>
      <w:r w:rsidRPr="00060D24">
        <w:t xml:space="preserve"> в сектора на рибарството и аквакултурите (ОВ L 190 от 28.06.2014 г.) до съответния размер, определен в чл. 3, параграф 2 на Регламента</w:t>
      </w:r>
      <w:r w:rsidR="00900D07">
        <w:rPr>
          <w:rStyle w:val="FootnoteReference"/>
        </w:rPr>
        <w:footnoteReference w:id="11"/>
      </w:r>
      <w:r w:rsidRPr="00060D24">
        <w:t xml:space="preserve">. В случаите на предприятия, които са в обхвата на Регламент (ЕС) </w:t>
      </w:r>
      <w:r w:rsidR="00914472">
        <w:t>2023</w:t>
      </w:r>
      <w:r w:rsidRPr="00060D24">
        <w:t>/</w:t>
      </w:r>
      <w:r w:rsidR="00914472" w:rsidRPr="00060D24">
        <w:t>2</w:t>
      </w:r>
      <w:r w:rsidR="00914472">
        <w:t>832</w:t>
      </w:r>
      <w:r w:rsidR="00914472" w:rsidRPr="00060D24">
        <w:t xml:space="preserve"> </w:t>
      </w:r>
      <w:r w:rsidRPr="00060D24">
        <w:t xml:space="preserve">на Комисията от </w:t>
      </w:r>
      <w:r w:rsidR="00914472">
        <w:t>13</w:t>
      </w:r>
      <w:r w:rsidR="00914472" w:rsidRPr="00060D24">
        <w:t xml:space="preserve"> </w:t>
      </w:r>
      <w:r w:rsidR="00914472">
        <w:t>декември</w:t>
      </w:r>
      <w:r w:rsidR="00914472" w:rsidRPr="00060D24">
        <w:t xml:space="preserve"> 20</w:t>
      </w:r>
      <w:r w:rsidR="00914472">
        <w:t>23</w:t>
      </w:r>
      <w:r w:rsidR="00914472" w:rsidRPr="00060D24">
        <w:t xml:space="preserve"> </w:t>
      </w:r>
      <w:r w:rsidRPr="00060D24">
        <w:t>г. относно прилагането на членове 107 и 108 от Договора за функционирането на Европейския съюз към минималната помощ (</w:t>
      </w:r>
      <w:r w:rsidRPr="00060D24">
        <w:rPr>
          <w:i/>
          <w:iCs/>
        </w:rPr>
        <w:t>de minimis</w:t>
      </w:r>
      <w:r w:rsidRPr="00060D24">
        <w:t xml:space="preserve">) за предприятия, предоставящи услуги от общ икономически интерес (ОВ L  от </w:t>
      </w:r>
      <w:r w:rsidR="00914472">
        <w:t>15</w:t>
      </w:r>
      <w:r w:rsidRPr="00060D24">
        <w:t>.</w:t>
      </w:r>
      <w:r w:rsidR="00914472">
        <w:t>12</w:t>
      </w:r>
      <w:r w:rsidRPr="00060D24">
        <w:t>.</w:t>
      </w:r>
      <w:r w:rsidR="00914472" w:rsidRPr="00060D24">
        <w:t>20</w:t>
      </w:r>
      <w:r w:rsidR="00914472">
        <w:t>23</w:t>
      </w:r>
      <w:r w:rsidR="00914472" w:rsidRPr="00060D24">
        <w:t xml:space="preserve"> </w:t>
      </w:r>
      <w:r w:rsidRPr="00060D24">
        <w:t xml:space="preserve">г.) приложимият праг за натрупване на минималната помощ </w:t>
      </w:r>
      <w:bookmarkStart w:id="7" w:name="_Hlk182571800"/>
      <w:r w:rsidR="00D17F57" w:rsidRPr="00D17F57">
        <w:t>по Регламент (ЕС) 2023/2831 и Регламент (ЕС) 2023/2832</w:t>
      </w:r>
      <w:bookmarkEnd w:id="7"/>
      <w:r w:rsidR="00D17F57">
        <w:t xml:space="preserve"> </w:t>
      </w:r>
      <w:r w:rsidRPr="00060D24">
        <w:t xml:space="preserve">е до левовата равностойност на </w:t>
      </w:r>
      <w:r w:rsidR="00D17F57">
        <w:t>1 050 000</w:t>
      </w:r>
      <w:r w:rsidRPr="00060D24">
        <w:t xml:space="preserve"> евро</w:t>
      </w:r>
      <w:r w:rsidR="00D17F57">
        <w:rPr>
          <w:rStyle w:val="FootnoteReference"/>
        </w:rPr>
        <w:footnoteReference w:id="12"/>
      </w:r>
      <w:r w:rsidR="00F849F5" w:rsidRPr="00F849F5">
        <w:t xml:space="preserve"> </w:t>
      </w:r>
      <w:bookmarkStart w:id="9" w:name="_Hlk182571821"/>
      <w:r w:rsidR="00F849F5" w:rsidRPr="00F849F5">
        <w:t>за период от три години</w:t>
      </w:r>
      <w:bookmarkEnd w:id="9"/>
      <w:r w:rsidRPr="00060D24">
        <w:t>.</w:t>
      </w:r>
    </w:p>
    <w:p w14:paraId="560A95A2"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Помощ </w:t>
      </w:r>
      <w:r w:rsidRPr="00060D24">
        <w:rPr>
          <w:i/>
          <w:iCs/>
        </w:rPr>
        <w:t>de minimis</w:t>
      </w:r>
      <w:r w:rsidRPr="00060D24">
        <w:t xml:space="preserve">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Помощ </w:t>
      </w:r>
      <w:r w:rsidRPr="00060D24">
        <w:rPr>
          <w:i/>
          <w:iCs/>
        </w:rPr>
        <w:t>de minimis</w:t>
      </w:r>
      <w:r w:rsidRPr="00060D24">
        <w:t xml:space="preserve">,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решение, приети от Комисията. Когато с отпускането на нова помощ </w:t>
      </w:r>
      <w:r w:rsidRPr="00060D24">
        <w:rPr>
          <w:i/>
          <w:iCs/>
        </w:rPr>
        <w:t>de minimis</w:t>
      </w:r>
      <w:r w:rsidRPr="00060D24">
        <w:t xml:space="preserve"> може да бъде надвишен съответният таван, определен в член 3, параграф 2 на Регламент</w:t>
      </w:r>
      <w:r w:rsidR="00914472">
        <w:t xml:space="preserve"> (ЕС)</w:t>
      </w:r>
      <w:r w:rsidRPr="00060D24">
        <w:t xml:space="preserve"> </w:t>
      </w:r>
      <w:r w:rsidR="00914472">
        <w:t>2023</w:t>
      </w:r>
      <w:r w:rsidRPr="00060D24">
        <w:t>/</w:t>
      </w:r>
      <w:r w:rsidR="00914472" w:rsidRPr="00060D24">
        <w:t>2</w:t>
      </w:r>
      <w:r w:rsidR="00914472">
        <w:t>831</w:t>
      </w:r>
      <w:r w:rsidR="00914472" w:rsidRPr="00060D24">
        <w:t xml:space="preserve"> </w:t>
      </w:r>
      <w:r w:rsidRPr="00060D24">
        <w:t xml:space="preserve">(като периодът обхваща </w:t>
      </w:r>
      <w:r w:rsidR="00914472">
        <w:t>три</w:t>
      </w:r>
      <w:r w:rsidR="00914472" w:rsidRPr="00060D24">
        <w:t xml:space="preserve"> </w:t>
      </w:r>
      <w:r w:rsidRPr="00060D24">
        <w:t xml:space="preserve">предходни </w:t>
      </w:r>
      <w:r w:rsidR="00914472" w:rsidRPr="00060D24">
        <w:t>годин</w:t>
      </w:r>
      <w:r w:rsidR="00914472">
        <w:t xml:space="preserve">и </w:t>
      </w:r>
      <w:r w:rsidR="00914472" w:rsidRPr="00914472">
        <w:t>към момента на предоставяне на помощта – административният договор за БФП</w:t>
      </w:r>
      <w:r w:rsidRPr="00060D24">
        <w:t xml:space="preserve">), никоя част от тази нова помощ не може да попада в приложното поле на същия регламент. 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w:t>
      </w:r>
      <w:r w:rsidR="00914472">
        <w:t>2023</w:t>
      </w:r>
      <w:r w:rsidRPr="00060D24">
        <w:t>/</w:t>
      </w:r>
      <w:r w:rsidR="00914472" w:rsidRPr="00060D24">
        <w:t>2</w:t>
      </w:r>
      <w:r w:rsidR="00914472">
        <w:t>831</w:t>
      </w:r>
      <w:r w:rsidRPr="00060D24">
        <w:t xml:space="preserve">, следва да се предприемат мерки по възстановяване на цялата получена сума по подписания административен договор за БФП/ </w:t>
      </w:r>
      <w:r w:rsidR="00E231C5" w:rsidRPr="00060D24">
        <w:t>частн</w:t>
      </w:r>
      <w:r w:rsidR="00E231C5">
        <w:t>ото</w:t>
      </w:r>
      <w:r w:rsidR="00E231C5" w:rsidRPr="00060D24">
        <w:t xml:space="preserve"> </w:t>
      </w:r>
      <w:r w:rsidR="00E231C5">
        <w:t>училище</w:t>
      </w:r>
      <w:r w:rsidRPr="00060D24">
        <w:t>, ЮЛНЦ</w:t>
      </w:r>
      <w:r w:rsidRPr="00060D24" w:rsidDel="00230251">
        <w:t xml:space="preserve"> </w:t>
      </w:r>
      <w:r w:rsidRPr="00060D24">
        <w:t>и УО на ПО.</w:t>
      </w:r>
    </w:p>
    <w:p w14:paraId="6F1B5698"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Държавите членки предоставят нова помощ </w:t>
      </w:r>
      <w:r w:rsidRPr="00060D24">
        <w:rPr>
          <w:i/>
          <w:iCs/>
        </w:rPr>
        <w:t>de minimis</w:t>
      </w:r>
      <w:r w:rsidRPr="00060D24">
        <w:t xml:space="preserve"> в съответствие с Регламент (ЕС) </w:t>
      </w:r>
      <w:r w:rsidR="00661863">
        <w:t>2023</w:t>
      </w:r>
      <w:r w:rsidRPr="00060D24">
        <w:t>/2</w:t>
      </w:r>
      <w:r w:rsidR="00661863">
        <w:t>831</w:t>
      </w:r>
      <w:r w:rsidRPr="00060D24">
        <w:t xml:space="preserve"> само след като са проверили, че с нея общият размер на помощта </w:t>
      </w:r>
      <w:r w:rsidRPr="00060D24">
        <w:rPr>
          <w:i/>
          <w:iCs/>
        </w:rPr>
        <w:t>de minimis</w:t>
      </w:r>
      <w:r w:rsidRPr="00060D24">
        <w:t>, отпусната на съответното предприятие, няма да достигне равнище, надхвърлящо съответния таван, определен в член 3, параграф 2, и че са спазени всички условия, установени в цитирания регламент.</w:t>
      </w:r>
    </w:p>
    <w:p w14:paraId="06D5F0E5"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rPr>
          <w:lang w:val="en-US"/>
        </w:rPr>
      </w:pPr>
      <w:r w:rsidRPr="00060D24">
        <w:lastRenderedPageBreak/>
        <w:t xml:space="preserve">Данните за получените минимални помощи през предходните </w:t>
      </w:r>
      <w:r w:rsidR="00661863">
        <w:t>три</w:t>
      </w:r>
      <w:r w:rsidRPr="00060D24">
        <w:t xml:space="preserve"> години до датата на </w:t>
      </w:r>
      <w:r w:rsidR="00661863" w:rsidRPr="00661863">
        <w:t>подаване на проектното предложение</w:t>
      </w:r>
      <w:r w:rsidRPr="00060D24">
        <w:t xml:space="preserve"> следва да бъдат надлежно посочени от </w:t>
      </w:r>
      <w:r w:rsidR="00C77517" w:rsidRPr="00060D24">
        <w:t>частн</w:t>
      </w:r>
      <w:r w:rsidR="00C77517">
        <w:t>ото</w:t>
      </w:r>
      <w:r w:rsidR="00C77517" w:rsidRPr="00060D24">
        <w:t xml:space="preserve"> </w:t>
      </w:r>
      <w:r w:rsidR="00C77517">
        <w:t>училище</w:t>
      </w:r>
      <w:r w:rsidRPr="00060D24">
        <w:t xml:space="preserve">, ЮЛНЦ, в т. </w:t>
      </w:r>
      <w:r w:rsidR="001D53FC">
        <w:t>9</w:t>
      </w:r>
      <w:r w:rsidRPr="00060D24">
        <w:t xml:space="preserve"> от Декларацията за минимални помощи (Приложение </w:t>
      </w:r>
      <w:r w:rsidRPr="00E02D2A">
        <w:rPr>
          <w:lang w:val="en-US"/>
        </w:rPr>
        <w:t>V</w:t>
      </w:r>
      <w:r w:rsidR="00662C3F" w:rsidRPr="00E02D2A">
        <w:rPr>
          <w:lang w:val="en-US"/>
        </w:rPr>
        <w:t>I</w:t>
      </w:r>
      <w:r w:rsidRPr="00060D24">
        <w:t xml:space="preserve"> към Условията за </w:t>
      </w:r>
      <w:r w:rsidR="0079643E">
        <w:t>кандидатстване</w:t>
      </w:r>
      <w:r w:rsidRPr="00060D24">
        <w:t>). Декларацията за минимални помощи се представя от кандидатите/партньорите -</w:t>
      </w:r>
      <w:r w:rsidRPr="00060D24">
        <w:rPr>
          <w:lang w:val="en-US"/>
        </w:rPr>
        <w:t xml:space="preserve"> </w:t>
      </w:r>
      <w:bookmarkStart w:id="10" w:name="_Hlk142488795"/>
      <w:r w:rsidR="00C77517" w:rsidRPr="00060D24">
        <w:t>частн</w:t>
      </w:r>
      <w:r w:rsidR="00C77517">
        <w:t>о училище</w:t>
      </w:r>
      <w:r w:rsidRPr="00060D24">
        <w:t xml:space="preserve">, ЮЛНЦ, </w:t>
      </w:r>
      <w:bookmarkEnd w:id="10"/>
      <w:r w:rsidRPr="00060D24">
        <w:t>на етап кандидатстване и впоследствие, в случай на одобрение на проектното предложение – преди сключване на административния договор за безвъзмездна финансова помощ, в случай че са настъпили промени в обстоятелствата, декларирани на етап кандидатстване</w:t>
      </w:r>
      <w:r w:rsidRPr="00060D24">
        <w:rPr>
          <w:lang w:val="en-US"/>
        </w:rPr>
        <w:t>.</w:t>
      </w:r>
    </w:p>
    <w:p w14:paraId="5887356A"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Към момента на оценка на проектното предложение, проверката за ненадвишаване на максимално допустимия таван за получена минимална помощ, определен в чл. 3</w:t>
      </w:r>
      <w:r w:rsidR="00050180">
        <w:t xml:space="preserve">, </w:t>
      </w:r>
      <w:r w:rsidR="00273AE9">
        <w:t>параграф</w:t>
      </w:r>
      <w:r w:rsidRPr="00060D24">
        <w:t xml:space="preserve"> 2 на Регламент (ЕС) </w:t>
      </w:r>
      <w:r w:rsidR="00273AE9">
        <w:t>2023</w:t>
      </w:r>
      <w:r w:rsidRPr="00060D24">
        <w:t>/</w:t>
      </w:r>
      <w:r w:rsidR="00273AE9">
        <w:t>2831</w:t>
      </w:r>
      <w:r w:rsidRPr="00060D24">
        <w:t xml:space="preserve">, ще се извършва на база посочените данни в Декларацията за получените минимални помощи и проверка в </w:t>
      </w:r>
      <w:r w:rsidR="00543E01" w:rsidRPr="00543E01">
        <w:t>„Регистър на Европейската комисия за осигуряване на прозрачност на предоставените минимални помощи“ - eAid Register (</w:t>
      </w:r>
      <w:hyperlink r:id="rId14" w:history="1">
        <w:r w:rsidR="00543E01" w:rsidRPr="00B00B3B">
          <w:rPr>
            <w:rStyle w:val="Hyperlink"/>
          </w:rPr>
          <w:t>https://aid-register.ec.europa.eu/de-minimis</w:t>
        </w:r>
      </w:hyperlink>
      <w:r w:rsidR="00543E01" w:rsidRPr="00543E01">
        <w:t>)</w:t>
      </w:r>
      <w:r w:rsidR="00543E01">
        <w:t>/</w:t>
      </w:r>
      <w:r w:rsidRPr="00060D24">
        <w:t>Регистъра на минималните помощи, поддържан от министъра на финансите.</w:t>
      </w:r>
    </w:p>
    <w:p w14:paraId="56191480"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В случай че при оценката на конкретно проектно предложение се установи, че с финансовата помощ в режим de minimis, за която се кандидатства, ще бъде надхвърлен прагът на допустимите минимални помощи, оценителната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ЗУСЕФСУ. В тази връзка, когато исканата част от бюджета на БФП надхвърля допустимия размер на „минимална помощ“ за </w:t>
      </w:r>
      <w:r w:rsidR="00C77517" w:rsidRPr="00060D24">
        <w:t>частн</w:t>
      </w:r>
      <w:r w:rsidR="00C77517">
        <w:t>о</w:t>
      </w:r>
      <w:r w:rsidR="00C77517" w:rsidRPr="00060D24">
        <w:t xml:space="preserve"> </w:t>
      </w:r>
      <w:r w:rsidR="00C77517">
        <w:t>училище</w:t>
      </w:r>
      <w:r w:rsidRPr="00060D24">
        <w:t xml:space="preserve">, ЮЛНЦ, оценителната комисия след комуникация коригира бюджета за тях без да редуцира дейностите и индикаторите, а </w:t>
      </w:r>
      <w:r w:rsidR="00C77517" w:rsidRPr="00060D24">
        <w:t>частн</w:t>
      </w:r>
      <w:r w:rsidR="00C77517">
        <w:t>ото</w:t>
      </w:r>
      <w:r w:rsidR="00C77517" w:rsidRPr="00060D24">
        <w:t xml:space="preserve"> </w:t>
      </w:r>
      <w:r w:rsidR="00C77517">
        <w:t>училище</w:t>
      </w:r>
      <w:r w:rsidRPr="00060D24">
        <w:t>, ЮЛНЦ, поема ангажимент да ги изпълни, осигурявайки собствени средства в размер на разликата от исканата и редуцираната минималната помощ.</w:t>
      </w:r>
    </w:p>
    <w:p w14:paraId="1B34490B"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Преди сключване на административния договор, Управляващият орган на ПО ще извършва проверка по същество на декларираната помощ в режим de minimis от одобрените кандидати/партньори – частни </w:t>
      </w:r>
      <w:r w:rsidR="00520A48">
        <w:t>училища</w:t>
      </w:r>
      <w:r w:rsidRPr="00060D24">
        <w:t>, ЮЛНЦ. В случай, че бъде установена погрешно декларирана сума към момента на договарянето, която надвишава съответния таван, определен в чл. 3</w:t>
      </w:r>
      <w:r w:rsidR="00273AE9" w:rsidRPr="00273AE9">
        <w:t xml:space="preserve"> параграф 2</w:t>
      </w:r>
      <w:r w:rsidRPr="00060D24">
        <w:t xml:space="preserve"> на Регламент (ЕС) № </w:t>
      </w:r>
      <w:r w:rsidR="00273AE9">
        <w:t>2023</w:t>
      </w:r>
      <w:r w:rsidRPr="00060D24">
        <w:t>/</w:t>
      </w:r>
      <w:r w:rsidR="00273AE9">
        <w:t>2831</w:t>
      </w:r>
      <w:r w:rsidR="00273AE9" w:rsidRPr="00060D24">
        <w:t xml:space="preserve"> </w:t>
      </w:r>
      <w:r w:rsidRPr="00060D24">
        <w:t>или се установи, че кандидатите/партньорите попадат в забранителния режим, ще бъде издадено Решение за отказ за предоставяне на безвъзмездна финансова помощ за съответния кандидат. Проверката се осъществява посредством съпоставяне на цялата информация за получените минимални помощи, с която Управляващият орган разполага, вкл. и проверка в Регистъра на минималните помощи, поддържан от министъра на финансите.</w:t>
      </w:r>
    </w:p>
    <w:p w14:paraId="3FE2FCF8"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bookmarkStart w:id="11" w:name="_Hlk114649922"/>
      <w:r w:rsidRPr="00060D24">
        <w:t xml:space="preserve">В процеса на изпълнение на проекта, УО на ПО ще прилага контролни механизми, с които да гарантира, че всички условия на Регламент (ЕС) </w:t>
      </w:r>
      <w:r w:rsidR="00273AE9">
        <w:t>2023</w:t>
      </w:r>
      <w:r w:rsidRPr="00060D24">
        <w:t>/</w:t>
      </w:r>
      <w:r w:rsidR="00273AE9" w:rsidRPr="00060D24">
        <w:t>2</w:t>
      </w:r>
      <w:r w:rsidR="00273AE9">
        <w:t>831</w:t>
      </w:r>
      <w:r w:rsidR="00273AE9" w:rsidRPr="00060D24">
        <w:t xml:space="preserve"> </w:t>
      </w:r>
      <w:r w:rsidRPr="00060D24">
        <w:t xml:space="preserve">са изпълнени. Контролните механизми са съвкупността от мерки, правила, процедури, официални източници на информация, посредством които администраторът на помощ проверява съответните обстоятелства, за да гарантира изпълнението на всяко едно условие от Регламент (ЕС) </w:t>
      </w:r>
      <w:r w:rsidR="00273AE9">
        <w:t>2023</w:t>
      </w:r>
      <w:r w:rsidRPr="00060D24">
        <w:t>/</w:t>
      </w:r>
      <w:r w:rsidR="00273AE9" w:rsidRPr="00060D24">
        <w:t>2</w:t>
      </w:r>
      <w:r w:rsidR="00273AE9">
        <w:t>831</w:t>
      </w:r>
      <w:r w:rsidRPr="00060D24">
        <w:t xml:space="preserve">. Във връзка с чл. 6 от Регламент (ЕС) </w:t>
      </w:r>
      <w:r w:rsidR="00273AE9">
        <w:t>2023</w:t>
      </w:r>
      <w:r w:rsidRPr="00060D24">
        <w:t>/</w:t>
      </w:r>
      <w:r w:rsidR="00273AE9" w:rsidRPr="00060D24">
        <w:t>2</w:t>
      </w:r>
      <w:r w:rsidR="00273AE9">
        <w:t>831</w:t>
      </w:r>
      <w:r w:rsidRPr="00060D24">
        <w:t xml:space="preserve">, администраторът на помощ е 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администраторът на помощ - УО на ПО  проверява декларираната от кандидатите информация, чрез </w:t>
      </w:r>
      <w:r w:rsidRPr="00060D24">
        <w:lastRenderedPageBreak/>
        <w:t>съпоставянето й с данни от официални източници, като например НСИ, Търговския регистър и регистър на юридическите лица с нестопанска цел,</w:t>
      </w:r>
      <w:r w:rsidR="0073592F" w:rsidRPr="0073592F">
        <w:t xml:space="preserve"> „Регистър на Европейската комисия за осигуряване на прозрачност на предоставените минимални помощи“ - eAid Register (</w:t>
      </w:r>
      <w:hyperlink r:id="rId15" w:history="1">
        <w:r w:rsidR="00E264AA" w:rsidRPr="00B00B3B">
          <w:rPr>
            <w:rStyle w:val="Hyperlink"/>
          </w:rPr>
          <w:t>https://aid-register.ec.europa.eu/de-minimis</w:t>
        </w:r>
      </w:hyperlink>
      <w:r w:rsidR="0073592F" w:rsidRPr="0073592F">
        <w:t xml:space="preserve">)/ </w:t>
      </w:r>
      <w:r w:rsidRPr="00060D24">
        <w:t xml:space="preserve"> Регистъра на минималните помощи, поддържан от министъра на финансите и др. При проверка на условията на Регламент (ЕС) </w:t>
      </w:r>
      <w:r w:rsidR="00273AE9">
        <w:t>2023</w:t>
      </w:r>
      <w:r w:rsidRPr="00060D24">
        <w:t>/</w:t>
      </w:r>
      <w:r w:rsidR="00273AE9" w:rsidRPr="00060D24">
        <w:t>2</w:t>
      </w:r>
      <w:r w:rsidR="00273AE9">
        <w:t>831</w:t>
      </w:r>
      <w:r w:rsidR="00273AE9" w:rsidRPr="00060D24">
        <w:t xml:space="preserve"> </w:t>
      </w:r>
      <w:r w:rsidRPr="00060D24">
        <w:t>за всяко частно училище</w:t>
      </w:r>
      <w:r w:rsidR="00C16376" w:rsidRPr="00C529A4">
        <w:t>/ЮЛНЦ</w:t>
      </w:r>
      <w:r w:rsidRPr="00060D24">
        <w:t>, УО на ПО следва да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w:t>
      </w:r>
      <w:bookmarkEnd w:id="11"/>
    </w:p>
    <w:p w14:paraId="020F84FF"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УО на ПО не носи отговорност за погрешно декларирана сума на получена минимална помощ, довела до отказ от сключване на административен договор за предоставяне на БФП.</w:t>
      </w:r>
    </w:p>
    <w:p w14:paraId="286DE861"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Помощта </w:t>
      </w:r>
      <w:r w:rsidRPr="00060D24">
        <w:rPr>
          <w:i/>
          <w:iCs/>
        </w:rPr>
        <w:t>de minimis</w:t>
      </w:r>
      <w:r w:rsidRPr="00060D24">
        <w:t xml:space="preserve"> се смята за отпусната от момента на подписване на административния договор за изпълнение на дейности по проекта, независимо от датата на нейното изплащане на предприятието.</w:t>
      </w:r>
    </w:p>
    <w:p w14:paraId="1B789E7F"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Съгласно чл. 3, пар. </w:t>
      </w:r>
      <w:r w:rsidR="00273AE9">
        <w:t>5</w:t>
      </w:r>
      <w:r w:rsidR="00273AE9" w:rsidRPr="00060D24">
        <w:t xml:space="preserve"> </w:t>
      </w:r>
      <w:r w:rsidRPr="00060D24">
        <w:t xml:space="preserve">от Регламент (ЕС) </w:t>
      </w:r>
      <w:r w:rsidR="00273AE9">
        <w:t>2023</w:t>
      </w:r>
      <w:r w:rsidRPr="00060D24">
        <w:t>/</w:t>
      </w:r>
      <w:r w:rsidR="00273AE9" w:rsidRPr="00060D24">
        <w:t>2</w:t>
      </w:r>
      <w:r w:rsidR="00273AE9">
        <w:t>831</w:t>
      </w:r>
      <w:r w:rsidR="00273AE9" w:rsidRPr="00060D24">
        <w:t xml:space="preserve"> </w:t>
      </w:r>
      <w:r w:rsidRPr="00060D24">
        <w:t>г. всички суми (стойности) на помощта са в брутно изражение, т. е. преди облагане с данъци или други такси.</w:t>
      </w:r>
    </w:p>
    <w:p w14:paraId="7D651CAA"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Помощите, които се предоставят на няколко части (т.е. когато </w:t>
      </w:r>
      <w:r w:rsidR="002448E7" w:rsidRPr="00060D24">
        <w:t>частн</w:t>
      </w:r>
      <w:r w:rsidR="002448E7">
        <w:t>о</w:t>
      </w:r>
      <w:r w:rsidR="002448E7" w:rsidRPr="00060D24">
        <w:t xml:space="preserve"> </w:t>
      </w:r>
      <w:r w:rsidR="002448E7">
        <w:t>училище</w:t>
      </w:r>
      <w:r w:rsidRPr="00060D24">
        <w:t xml:space="preserve">, ЮЛНЦ, предвижда да ползва авансово и/или междинно/и плащане/ия),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 Лихвеният процент, който се използва за сконтиране, е сконтовият процент, приложим към момента на предоставяне на помощта, в съответствие с чл. 3, </w:t>
      </w:r>
      <w:r w:rsidR="00273AE9">
        <w:t>пар</w:t>
      </w:r>
      <w:r w:rsidRPr="00060D24">
        <w:t xml:space="preserve">. 6 от Регламент (ЕС) </w:t>
      </w:r>
      <w:r w:rsidR="00273AE9">
        <w:t>2023</w:t>
      </w:r>
      <w:r w:rsidRPr="00060D24">
        <w:t>/</w:t>
      </w:r>
      <w:r w:rsidR="00273AE9" w:rsidRPr="00060D24">
        <w:t>2</w:t>
      </w:r>
      <w:r w:rsidR="00273AE9">
        <w:t>831</w:t>
      </w:r>
      <w:r w:rsidR="00273AE9" w:rsidRPr="00060D24">
        <w:t xml:space="preserve"> </w:t>
      </w:r>
      <w:r w:rsidRPr="00060D24">
        <w:t xml:space="preserve">на Комисията от </w:t>
      </w:r>
      <w:r w:rsidR="00273AE9" w:rsidRPr="00060D24">
        <w:t>1</w:t>
      </w:r>
      <w:r w:rsidR="00273AE9">
        <w:t>3</w:t>
      </w:r>
      <w:r w:rsidR="00273AE9" w:rsidRPr="00060D24">
        <w:t xml:space="preserve"> </w:t>
      </w:r>
      <w:r w:rsidRPr="00060D24">
        <w:t xml:space="preserve">декември </w:t>
      </w:r>
      <w:r w:rsidR="00273AE9" w:rsidRPr="00060D24">
        <w:t>20</w:t>
      </w:r>
      <w:r w:rsidR="00273AE9">
        <w:t>2</w:t>
      </w:r>
      <w:r w:rsidR="00273AE9" w:rsidRPr="00060D24">
        <w:t xml:space="preserve">3 </w:t>
      </w:r>
      <w:r w:rsidRPr="00060D24">
        <w:t>г.</w:t>
      </w:r>
    </w:p>
    <w:p w14:paraId="2B099E3E"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Сконтирането следва да се извършва от УО на ПО, преди всяко плащане по договора за БФП за изпълнение на дейности с оглед гарантиране, че предоставената помощ е съобразена с праговете за съответния вид помощ, установени в Регламент (ЕС) № </w:t>
      </w:r>
      <w:r w:rsidR="00273AE9">
        <w:t>2023</w:t>
      </w:r>
      <w:r w:rsidRPr="00060D24">
        <w:t>/</w:t>
      </w:r>
      <w:r w:rsidR="00273AE9" w:rsidRPr="00060D24">
        <w:t>2</w:t>
      </w:r>
      <w:r w:rsidR="00273AE9">
        <w:t>831</w:t>
      </w:r>
      <w:r w:rsidR="00273AE9" w:rsidRPr="00060D24">
        <w:t xml:space="preserve"> </w:t>
      </w:r>
      <w:r w:rsidRPr="00060D24">
        <w:t>на Комисията.</w:t>
      </w:r>
    </w:p>
    <w:p w14:paraId="2B088D5C"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При неспазване на изискванията на Регламент (ЕС) </w:t>
      </w:r>
      <w:r w:rsidR="00273AE9">
        <w:t>2023</w:t>
      </w:r>
      <w:r w:rsidRPr="00060D24">
        <w:t>/</w:t>
      </w:r>
      <w:r w:rsidR="00273AE9">
        <w:t>2831</w:t>
      </w:r>
      <w:r w:rsidRPr="00060D24">
        <w:t>, получателят възстановява пълния размер на предоставените средства по настоящата процедура, със законната лихва от момента на получаването до окончателното им изплащане. Възстановяването на неправомерно предоставена минимална помощ се извършва по реда, описан в административния договора за БФП. Отговорността за възстановяването на такива помощи е на администратора на помощта.</w:t>
      </w:r>
    </w:p>
    <w:p w14:paraId="0223DE4A"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УО на ПО в качеството му на администратор на помощ по настоящата процедура чрез издаване на акт за установяване на публичното вземане по реда на Административнопроцесуалния кодекс. Вземанията по издадените актове подлежат на събиране по реда на Данъчно-осигурителния процесуален кодекс от органите на Националната агенция за приходите. Администраторът на помощ УО на ПО, издал акта за установяване на публичното вземане по реда на АПК, в срок до три работни дни от издаването на акта информира министъра на финансите.</w:t>
      </w:r>
    </w:p>
    <w:p w14:paraId="35136485"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Възстановяването на недължимо платените и надплатените суми, както и на неправомерно получените или неправомерно усвоени средства, се извършва в </w:t>
      </w:r>
      <w:r w:rsidRPr="00060D24">
        <w:lastRenderedPageBreak/>
        <w:t>съответствие с Указания на Министерство на финансите, чл. 37 от ЗДП и Наредба № Н-5 /29.12.2022 г. на министъра на финансите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44041F88"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При констатиране на действително надвишаване на установения праг в Регламент (ЕС) </w:t>
      </w:r>
      <w:r w:rsidR="00273AE9">
        <w:t>2023</w:t>
      </w:r>
      <w:r w:rsidRPr="00060D24">
        <w:t>/</w:t>
      </w:r>
      <w:r w:rsidR="00273AE9" w:rsidRPr="00060D24">
        <w:t>2</w:t>
      </w:r>
      <w:r w:rsidR="00273AE9">
        <w:t>831</w:t>
      </w:r>
      <w:r w:rsidRPr="00060D24">
        <w:t>, следва да се предприемат мерки по възстановяване на цялата получена сума по последно подписания договор от страна на кандидатите /това обстоятелство е съотносимо и за партньорите.</w:t>
      </w:r>
    </w:p>
    <w:p w14:paraId="6D3A6D62"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Когато безвъзмездната финансова помощ попада в обхвата на Регламент (ЕС) </w:t>
      </w:r>
      <w:r w:rsidR="00273AE9">
        <w:t>2023</w:t>
      </w:r>
      <w:r w:rsidRPr="00060D24">
        <w:t>/</w:t>
      </w:r>
      <w:r w:rsidR="00273AE9" w:rsidRPr="00060D24">
        <w:t>2</w:t>
      </w:r>
      <w:r w:rsidR="00273AE9">
        <w:t>831</w:t>
      </w:r>
      <w:r w:rsidR="00273AE9" w:rsidRPr="00060D24">
        <w:t xml:space="preserve"> </w:t>
      </w:r>
      <w:r w:rsidRPr="00060D24">
        <w:t>на Комисията, Бенефиц</w:t>
      </w:r>
      <w:r>
        <w:t>и</w:t>
      </w:r>
      <w:r w:rsidRPr="00060D24">
        <w:t xml:space="preserve">ентът и УО на ПО 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w:t>
      </w:r>
      <w:r w:rsidR="00273AE9">
        <w:t>2023</w:t>
      </w:r>
      <w:r w:rsidRPr="00060D24">
        <w:t>/</w:t>
      </w:r>
      <w:r w:rsidR="00273AE9" w:rsidRPr="00060D24">
        <w:t>2</w:t>
      </w:r>
      <w:r w:rsidR="00273AE9">
        <w:t>831</w:t>
      </w:r>
      <w:r w:rsidRPr="00060D24">
        <w:t xml:space="preserve">. Документацията относно </w:t>
      </w:r>
      <w:r w:rsidR="00541B8E" w:rsidRPr="00060D24">
        <w:t>помощ</w:t>
      </w:r>
      <w:r w:rsidR="00541B8E">
        <w:t>та</w:t>
      </w:r>
      <w:r w:rsidR="00541B8E" w:rsidRPr="00060D24">
        <w:t xml:space="preserve"> </w:t>
      </w:r>
      <w:r w:rsidRPr="00060D24">
        <w:rPr>
          <w:i/>
          <w:iCs/>
        </w:rPr>
        <w:t>de minimis</w:t>
      </w:r>
      <w:r w:rsidRPr="00060D24">
        <w:t xml:space="preserve"> се съхранява </w:t>
      </w:r>
      <w:r w:rsidR="00541B8E">
        <w:t xml:space="preserve">в продължение на </w:t>
      </w:r>
      <w:r w:rsidRPr="00060D24">
        <w:t xml:space="preserve">10 години от датата на </w:t>
      </w:r>
      <w:r w:rsidR="00541B8E">
        <w:t xml:space="preserve">която е предоставена. </w:t>
      </w:r>
    </w:p>
    <w:p w14:paraId="758345A7"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При поискване от Европейската комисия бенефиц</w:t>
      </w:r>
      <w:r>
        <w:t>и</w:t>
      </w:r>
      <w:r w:rsidRPr="00060D24">
        <w:t xml:space="preserve">ентът и партньорите предоставят чрез УО на ПО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w:t>
      </w:r>
      <w:r w:rsidR="005A1C06">
        <w:t>2023</w:t>
      </w:r>
      <w:r w:rsidRPr="00060D24">
        <w:t>/</w:t>
      </w:r>
      <w:r w:rsidR="005A1C06">
        <w:t>2831</w:t>
      </w:r>
      <w:r w:rsidRPr="00060D24">
        <w:t xml:space="preserve">. Информацията и документацията се предоставят на министъра на финансите в срок </w:t>
      </w:r>
      <w:r w:rsidR="005A1C06">
        <w:t xml:space="preserve">от </w:t>
      </w:r>
      <w:r w:rsidRPr="00060D24">
        <w:t xml:space="preserve">15 работни дни, освен ако в искането на Европейската комисия или в указанията на Министерството на финансите не е определен друг срок. </w:t>
      </w:r>
    </w:p>
    <w:p w14:paraId="48141E04" w14:textId="6D0A25D4"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Задължение на Администратора на помощта, произтичащо от чл. 34, ал. 1 от ЗДП и чл. 9, ал. 4 от Правилника за неговото прилагане, е да информира министъра на финансите в срок от 3 работни дни от предоставянето на всяка помощ </w:t>
      </w:r>
      <w:r w:rsidRPr="00060D24">
        <w:rPr>
          <w:i/>
          <w:iCs/>
        </w:rPr>
        <w:t>de minimis</w:t>
      </w:r>
      <w:r w:rsidRPr="00060D24">
        <w:t xml:space="preserve"> чрез </w:t>
      </w:r>
      <w:r w:rsidR="00B93E70" w:rsidRPr="00B93E70">
        <w:t>„Регистър на Европейската комисия за осигуряване на прозрачност на предоставените минимални помощи“ - eAid Register (</w:t>
      </w:r>
      <w:hyperlink r:id="rId16" w:history="1">
        <w:r w:rsidR="00B93E70" w:rsidRPr="00B00B3B">
          <w:rPr>
            <w:rStyle w:val="Hyperlink"/>
          </w:rPr>
          <w:t>http</w:t>
        </w:r>
        <w:r w:rsidR="00B93E70" w:rsidRPr="00E50F6F">
          <w:rPr>
            <w:rStyle w:val="Hyperlink"/>
          </w:rPr>
          <w:t>s</w:t>
        </w:r>
        <w:r w:rsidR="00B93E70" w:rsidRPr="00B00B3B">
          <w:rPr>
            <w:rStyle w:val="Hyperlink"/>
          </w:rPr>
          <w:t>://aid-register.ec.europa.eu/de-minimis</w:t>
        </w:r>
      </w:hyperlink>
      <w:r w:rsidR="00B93E70" w:rsidRPr="00B93E70">
        <w:t>)</w:t>
      </w:r>
      <w:r w:rsidR="00B93E70">
        <w:t>.</w:t>
      </w:r>
    </w:p>
    <w:p w14:paraId="46D04D27"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 xml:space="preserve">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Регламент на Комисията (ЕС) </w:t>
      </w:r>
      <w:r w:rsidR="005A1C06">
        <w:t>2023</w:t>
      </w:r>
      <w:r w:rsidRPr="00060D24">
        <w:t>/</w:t>
      </w:r>
      <w:r w:rsidR="005A1C06" w:rsidRPr="00060D24">
        <w:t>2</w:t>
      </w:r>
      <w:r w:rsidR="005A1C06">
        <w:t>831</w:t>
      </w:r>
      <w:r w:rsidRPr="00060D24">
        <w:t xml:space="preserve">. </w:t>
      </w:r>
    </w:p>
    <w:p w14:paraId="402CB8DE" w14:textId="77777777" w:rsidR="00060D24" w:rsidRPr="00060D2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t>Съгласно чл. 38, т.</w:t>
      </w:r>
      <w:r w:rsidR="00107023">
        <w:rPr>
          <w:lang w:val="en-US"/>
        </w:rPr>
        <w:t xml:space="preserve"> </w:t>
      </w:r>
      <w:r w:rsidRPr="00060D24">
        <w:t>5 от ЗУСЕФСУ ръководителят на Управляващия орган издава мотивирано решение за отказ за предоставяне на безвъзмездна финансова помощ, ако преди сключване на договор се установи, че минималната помощ е недопустима.</w:t>
      </w:r>
    </w:p>
    <w:p w14:paraId="0EBD057A" w14:textId="77777777" w:rsidR="00060D24" w:rsidRPr="00187EF4" w:rsidRDefault="00060D24" w:rsidP="00060D24">
      <w:pPr>
        <w:pBdr>
          <w:top w:val="single" w:sz="4" w:space="1" w:color="auto"/>
          <w:left w:val="single" w:sz="4" w:space="13" w:color="auto"/>
          <w:bottom w:val="single" w:sz="4" w:space="1" w:color="auto"/>
          <w:right w:val="single" w:sz="4" w:space="4" w:color="auto"/>
        </w:pBdr>
        <w:spacing w:before="120"/>
        <w:jc w:val="both"/>
      </w:pPr>
      <w:r w:rsidRPr="00060D24">
        <w:rPr>
          <w:b/>
          <w:bCs/>
        </w:rPr>
        <w:t>В случай на промяна на нормативните изисквания в областта на минималните помощи преди сключване на административен договор за безвъзмездна финансова помощ, ще бъдат прилагани новите изисквания.</w:t>
      </w:r>
      <w:r w:rsidRPr="00187EF4">
        <w:t xml:space="preserve"> </w:t>
      </w:r>
    </w:p>
    <w:p w14:paraId="0487D139" w14:textId="77777777" w:rsidR="00AE4017" w:rsidRPr="0051726F" w:rsidRDefault="00AE4017" w:rsidP="00060D24">
      <w:pPr>
        <w:spacing w:line="360" w:lineRule="auto"/>
        <w:ind w:left="360"/>
        <w:jc w:val="both"/>
      </w:pPr>
    </w:p>
    <w:sectPr w:rsidR="00AE4017" w:rsidRPr="0051726F" w:rsidSect="00227801">
      <w:headerReference w:type="default" r:id="rId17"/>
      <w:footerReference w:type="even" r:id="rId18"/>
      <w:footerReference w:type="default" r:id="rId19"/>
      <w:pgSz w:w="11906" w:h="16838"/>
      <w:pgMar w:top="719" w:right="1417" w:bottom="141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C1F2" w14:textId="77777777" w:rsidR="00E75D25" w:rsidRDefault="00E75D25">
      <w:r>
        <w:separator/>
      </w:r>
    </w:p>
  </w:endnote>
  <w:endnote w:type="continuationSeparator" w:id="0">
    <w:p w14:paraId="49001B5E" w14:textId="77777777" w:rsidR="00E75D25" w:rsidRDefault="00E75D25">
      <w:r>
        <w:continuationSeparator/>
      </w:r>
    </w:p>
  </w:endnote>
  <w:endnote w:type="continuationNotice" w:id="1">
    <w:p w14:paraId="7E909509" w14:textId="77777777" w:rsidR="00E75D25" w:rsidRDefault="00E75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EB55" w14:textId="77777777" w:rsidR="00FC7B01" w:rsidRDefault="00FC7B01" w:rsidP="006906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F10AA0" w14:textId="77777777" w:rsidR="00FC7B01" w:rsidRDefault="00FC7B01" w:rsidP="000C24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97995" w14:textId="77777777" w:rsidR="00FC7B01" w:rsidRDefault="00FC7B01" w:rsidP="006906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07A6">
      <w:rPr>
        <w:rStyle w:val="PageNumber"/>
        <w:noProof/>
      </w:rPr>
      <w:t>2</w:t>
    </w:r>
    <w:r>
      <w:rPr>
        <w:rStyle w:val="PageNumber"/>
      </w:rPr>
      <w:fldChar w:fldCharType="end"/>
    </w:r>
  </w:p>
  <w:p w14:paraId="4E3A048C" w14:textId="77777777" w:rsidR="00FC7B01" w:rsidRDefault="00FC7B01" w:rsidP="000D2357">
    <w:pPr>
      <w:pStyle w:val="Footer"/>
      <w:ind w:right="360"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EFE16" w14:textId="77777777" w:rsidR="00E75D25" w:rsidRDefault="00E75D25">
      <w:r>
        <w:separator/>
      </w:r>
    </w:p>
  </w:footnote>
  <w:footnote w:type="continuationSeparator" w:id="0">
    <w:p w14:paraId="4DC45AA5" w14:textId="77777777" w:rsidR="00E75D25" w:rsidRDefault="00E75D25">
      <w:r>
        <w:continuationSeparator/>
      </w:r>
    </w:p>
  </w:footnote>
  <w:footnote w:type="continuationNotice" w:id="1">
    <w:p w14:paraId="37231C9F" w14:textId="77777777" w:rsidR="00E75D25" w:rsidRDefault="00E75D25"/>
  </w:footnote>
  <w:footnote w:id="2">
    <w:p w14:paraId="60B9FCEA" w14:textId="77777777" w:rsidR="00AE4017" w:rsidRDefault="00AE4017" w:rsidP="00AE4017">
      <w:pPr>
        <w:pStyle w:val="FootnoteText"/>
        <w:jc w:val="both"/>
      </w:pPr>
      <w:r>
        <w:rPr>
          <w:rStyle w:val="FootnoteReference"/>
        </w:rPr>
        <w:footnoteRef/>
      </w:r>
      <w:r>
        <w:t xml:space="preserve"> </w:t>
      </w:r>
      <w:r w:rsidRPr="004C7098">
        <w:t>Съгласно §1,</w:t>
      </w:r>
      <w:r w:rsidR="00FA4829">
        <w:rPr>
          <w:lang w:val="en-US"/>
        </w:rPr>
        <w:t xml:space="preserve"> </w:t>
      </w:r>
      <w:r w:rsidRPr="004C7098">
        <w:t>т. 5 от Допълнителните разпоредби на ЗПУО "Дейности, които са обект на държавна политика" са дейностите, изпълнявани от институциите в системата на предучилищното и училищното образование, до които децата и учениците имат осигурен равен достъп и са пряко свързани с отглеждането, възпитанието и обучението им, придобиването на основно и средно образование и/или професионална квалификация или с подкрепа на личностното им развитие. Тези дейности нямат икономически характер, определят се с държавния образователен стандарт за финансирането на институциите и се финансират изцяло или частично от държавния бюджет в съответствие с този закон и при условия, по ред и в размери, определени от Министерския съвет.</w:t>
      </w:r>
    </w:p>
  </w:footnote>
  <w:footnote w:id="3">
    <w:p w14:paraId="5A288023" w14:textId="77777777" w:rsidR="00AE4017" w:rsidRDefault="00AE4017" w:rsidP="00AE4017">
      <w:pPr>
        <w:pStyle w:val="FootnoteText"/>
      </w:pPr>
      <w:r>
        <w:rPr>
          <w:rStyle w:val="FootnoteReference"/>
        </w:rPr>
        <w:footnoteRef/>
      </w:r>
      <w:r>
        <w:t xml:space="preserve"> </w:t>
      </w:r>
      <w:r w:rsidRPr="004C7098">
        <w:t>Съгласно английския текст</w:t>
      </w:r>
    </w:p>
  </w:footnote>
  <w:footnote w:id="4">
    <w:p w14:paraId="5EC8A477" w14:textId="77777777" w:rsidR="00AE4017" w:rsidRDefault="00AE4017" w:rsidP="00AE4017">
      <w:pPr>
        <w:pStyle w:val="FootnoteText"/>
      </w:pPr>
      <w:r>
        <w:rPr>
          <w:rStyle w:val="FootnoteReference"/>
        </w:rPr>
        <w:footnoteRef/>
      </w:r>
      <w:r>
        <w:t xml:space="preserve"> </w:t>
      </w:r>
      <w:hyperlink r:id="rId1" w:history="1">
        <w:r w:rsidRPr="00783010">
          <w:rPr>
            <w:rStyle w:val="Hyperlink"/>
          </w:rPr>
          <w:t>https://nccedi.government.bg/bg/node/448</w:t>
        </w:r>
      </w:hyperlink>
      <w:r>
        <w:t xml:space="preserve"> </w:t>
      </w:r>
    </w:p>
  </w:footnote>
  <w:footnote w:id="5">
    <w:p w14:paraId="525A5CB2" w14:textId="77777777" w:rsidR="00AE4017" w:rsidRDefault="00AE4017" w:rsidP="00AE4017">
      <w:pPr>
        <w:pStyle w:val="FootnoteText"/>
      </w:pPr>
      <w:r>
        <w:rPr>
          <w:rStyle w:val="FootnoteReference"/>
        </w:rPr>
        <w:footnoteRef/>
      </w:r>
      <w:r>
        <w:t xml:space="preserve"> </w:t>
      </w:r>
      <w:hyperlink r:id="rId2" w:history="1">
        <w:r w:rsidRPr="00783010">
          <w:rPr>
            <w:rStyle w:val="Hyperlink"/>
          </w:rPr>
          <w:t>https://eur-lex.europa.eu/legal-content/BG/TXT/?uri=CELEX:32021H1004</w:t>
        </w:r>
      </w:hyperlink>
      <w:r>
        <w:t xml:space="preserve"> </w:t>
      </w:r>
    </w:p>
  </w:footnote>
  <w:footnote w:id="6">
    <w:p w14:paraId="6FA2EEFB" w14:textId="77777777" w:rsidR="00AE4017" w:rsidRDefault="00AE4017" w:rsidP="00AE4017">
      <w:pPr>
        <w:pStyle w:val="FootnoteText"/>
      </w:pPr>
      <w:r>
        <w:rPr>
          <w:rStyle w:val="FootnoteReference"/>
        </w:rPr>
        <w:footnoteRef/>
      </w:r>
      <w:r>
        <w:t xml:space="preserve"> </w:t>
      </w:r>
      <w:hyperlink r:id="rId3" w:history="1">
        <w:r w:rsidRPr="00783010">
          <w:rPr>
            <w:rStyle w:val="Hyperlink"/>
          </w:rPr>
          <w:t>https://www.mlsp.government.bg/uploads/35/sv/action-plan-egd-2030.pdf</w:t>
        </w:r>
      </w:hyperlink>
      <w:r>
        <w:t xml:space="preserve"> </w:t>
      </w:r>
    </w:p>
  </w:footnote>
  <w:footnote w:id="7">
    <w:p w14:paraId="58B6F69D" w14:textId="77777777" w:rsidR="00AE4017" w:rsidRDefault="00AE4017" w:rsidP="00AE4017">
      <w:pPr>
        <w:pStyle w:val="FootnoteText"/>
        <w:jc w:val="both"/>
      </w:pPr>
      <w:r>
        <w:rPr>
          <w:rStyle w:val="FootnoteReference"/>
        </w:rPr>
        <w:footnoteRef/>
      </w:r>
      <w:r>
        <w:t xml:space="preserve"> Commission Notice on the notion of State aid as referred to in Article 107(1) of the Treaty on the Functioning of the European Union (2016/C 262/01)  </w:t>
      </w:r>
    </w:p>
  </w:footnote>
  <w:footnote w:id="8">
    <w:p w14:paraId="7E1FC05F" w14:textId="77777777" w:rsidR="002F695E" w:rsidRDefault="002F695E" w:rsidP="007B3423">
      <w:pPr>
        <w:pStyle w:val="FootnoteText"/>
        <w:jc w:val="both"/>
      </w:pPr>
      <w:r>
        <w:rPr>
          <w:rStyle w:val="FootnoteReference"/>
        </w:rPr>
        <w:footnoteRef/>
      </w:r>
      <w:r>
        <w:t xml:space="preserve"> </w:t>
      </w:r>
      <w:r w:rsidR="00E843A1" w:rsidRPr="00E843A1">
        <w:t>Когато такъв не се осигурява по ред на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w:t>
      </w:r>
    </w:p>
  </w:footnote>
  <w:footnote w:id="9">
    <w:p w14:paraId="2323E676" w14:textId="77777777" w:rsidR="00812457" w:rsidRPr="00812457" w:rsidRDefault="00812457">
      <w:pPr>
        <w:pStyle w:val="FootnoteText"/>
        <w:rPr>
          <w:lang w:val="en-US"/>
        </w:rPr>
      </w:pPr>
      <w:r>
        <w:rPr>
          <w:rStyle w:val="FootnoteReference"/>
        </w:rPr>
        <w:footnoteRef/>
      </w:r>
      <w:r>
        <w:t xml:space="preserve"> </w:t>
      </w:r>
      <w:r w:rsidRPr="00812457">
        <w:t>Считано от 1 януари 2026 г. предоставяните минимални помощи от Република България проверки се правят в Европейския регистър на пос</w:t>
      </w:r>
      <w:r>
        <w:rPr>
          <w:lang w:val="en-US"/>
        </w:rPr>
        <w:t>o</w:t>
      </w:r>
      <w:r w:rsidRPr="00812457">
        <w:t>чения линк.</w:t>
      </w:r>
    </w:p>
  </w:footnote>
  <w:footnote w:id="10">
    <w:p w14:paraId="334D10B7" w14:textId="5A9E37AD" w:rsidR="007746BE" w:rsidRPr="00040EE5" w:rsidRDefault="007746BE">
      <w:pPr>
        <w:pStyle w:val="FootnoteText"/>
        <w:rPr>
          <w:lang w:val="en-US"/>
        </w:rPr>
      </w:pPr>
      <w:r>
        <w:rPr>
          <w:rStyle w:val="FootnoteReference"/>
        </w:rPr>
        <w:footnoteRef/>
      </w:r>
      <w:r>
        <w:t xml:space="preserve"> </w:t>
      </w:r>
      <w:r w:rsidRPr="007746BE">
        <w:t>За минималните помощи, предоставени до 31.12.2025 г. включително проверки се правят в ИС РМП</w:t>
      </w:r>
      <w:r w:rsidR="006D2854">
        <w:rPr>
          <w:lang w:val="en-US"/>
        </w:rPr>
        <w:t xml:space="preserve">, </w:t>
      </w:r>
      <w:r w:rsidR="006D2854">
        <w:t>ако е приложимо</w:t>
      </w:r>
      <w:r w:rsidR="00040EE5">
        <w:rPr>
          <w:lang w:val="en-US"/>
        </w:rPr>
        <w:t>.</w:t>
      </w:r>
    </w:p>
  </w:footnote>
  <w:footnote w:id="11">
    <w:p w14:paraId="2E86F9C6" w14:textId="77777777" w:rsidR="00900D07" w:rsidRDefault="00900D07" w:rsidP="00D06B91">
      <w:pPr>
        <w:pStyle w:val="FootnoteText"/>
        <w:jc w:val="both"/>
      </w:pPr>
      <w:r>
        <w:rPr>
          <w:rStyle w:val="FootnoteReference"/>
        </w:rPr>
        <w:footnoteRef/>
      </w:r>
      <w:r>
        <w:t xml:space="preserve"> </w:t>
      </w:r>
      <w:bookmarkStart w:id="6" w:name="_Hlk182571756"/>
      <w:r w:rsidRPr="00900D07">
        <w:t xml:space="preserve">Минимална помощ по Регламент (ЕС) 2023/2831 + минимална помощ по Регламент (ЕС) № </w:t>
      </w:r>
      <w:r w:rsidR="00406BF5">
        <w:rPr>
          <w:lang w:val="en-US"/>
        </w:rPr>
        <w:t xml:space="preserve">2024/3118 </w:t>
      </w:r>
      <w:r w:rsidRPr="00900D07">
        <w:t>+ минимална помощ по  Регламент (ЕС) № 717/2014  се натрупва до 300 000 евро за период от три години.</w:t>
      </w:r>
    </w:p>
    <w:bookmarkEnd w:id="6"/>
  </w:footnote>
  <w:footnote w:id="12">
    <w:p w14:paraId="0B28EABD" w14:textId="77777777" w:rsidR="00D17F57" w:rsidRDefault="00D17F57" w:rsidP="00D17F57">
      <w:pPr>
        <w:pStyle w:val="FootnoteText"/>
        <w:jc w:val="both"/>
      </w:pPr>
      <w:r>
        <w:rPr>
          <w:rStyle w:val="FootnoteReference"/>
        </w:rPr>
        <w:footnoteRef/>
      </w:r>
      <w:r>
        <w:t xml:space="preserve"> </w:t>
      </w:r>
      <w:bookmarkStart w:id="8" w:name="_Hlk182571839"/>
      <w:r w:rsidRPr="00D17F57">
        <w:t>Минимална помощ по Регламент (ЕС) 2023/2831 + минимална помощ по Регламент (ЕС) 2023/2832 за период от три години се натрупва до 1 050 000 EUR (т.е. 300 000 евро по Регламент (ЕС) 2023/2831 + 750 000 евро по Регламент (ЕС) 2023/2832).</w:t>
      </w:r>
      <w:bookmarkEnd w:id="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A3E96" w14:textId="77777777" w:rsidR="002B3428" w:rsidRDefault="00C07086" w:rsidP="002B3428">
    <w:pPr>
      <w:pStyle w:val="Header"/>
      <w:tabs>
        <w:tab w:val="right" w:pos="10170"/>
      </w:tabs>
      <w:jc w:val="center"/>
    </w:pPr>
    <w:bookmarkStart w:id="12" w:name="_Hlk112743089"/>
    <w:r>
      <w:rPr>
        <w:noProof/>
      </w:rPr>
      <w:drawing>
        <wp:anchor distT="0" distB="0" distL="114300" distR="114300" simplePos="0" relativeHeight="251657216" behindDoc="0" locked="0" layoutInCell="1" allowOverlap="1" wp14:anchorId="00027820" wp14:editId="79C7135A">
          <wp:simplePos x="0" y="0"/>
          <wp:positionH relativeFrom="column">
            <wp:posOffset>4180840</wp:posOffset>
          </wp:positionH>
          <wp:positionV relativeFrom="paragraph">
            <wp:posOffset>-94615</wp:posOffset>
          </wp:positionV>
          <wp:extent cx="1476375" cy="536575"/>
          <wp:effectExtent l="0" t="0" r="0" b="0"/>
          <wp:wrapThrough wrapText="bothSides">
            <wp:wrapPolygon edited="0">
              <wp:start x="0" y="0"/>
              <wp:lineTo x="0" y="20705"/>
              <wp:lineTo x="21461" y="20705"/>
              <wp:lineTo x="21461" y="0"/>
              <wp:lineTo x="0" y="0"/>
            </wp:wrapPolygon>
          </wp:wrapThrough>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653E5895" wp14:editId="23D941B2">
          <wp:simplePos x="0" y="0"/>
          <wp:positionH relativeFrom="column">
            <wp:posOffset>141605</wp:posOffset>
          </wp:positionH>
          <wp:positionV relativeFrom="paragraph">
            <wp:posOffset>-47625</wp:posOffset>
          </wp:positionV>
          <wp:extent cx="2039620" cy="499745"/>
          <wp:effectExtent l="0" t="0" r="0"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2"/>
  <w:p w14:paraId="358FE1C0" w14:textId="77777777" w:rsidR="007B4456" w:rsidRDefault="007B4456" w:rsidP="007B4456">
    <w:pPr>
      <w:pStyle w:val="Header"/>
    </w:pPr>
  </w:p>
  <w:p w14:paraId="6BD453BF" w14:textId="77777777" w:rsidR="007B4456" w:rsidRDefault="007B44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31B6E"/>
    <w:multiLevelType w:val="hybridMultilevel"/>
    <w:tmpl w:val="926C9E02"/>
    <w:lvl w:ilvl="0" w:tplc="3B72F69A">
      <w:start w:val="1"/>
      <w:numFmt w:val="decimal"/>
      <w:lvlText w:val="%1."/>
      <w:lvlJc w:val="left"/>
      <w:pPr>
        <w:tabs>
          <w:tab w:val="num" w:pos="720"/>
        </w:tabs>
        <w:ind w:left="720" w:hanging="360"/>
      </w:pPr>
      <w:rPr>
        <w:b/>
        <w:bCs w:val="0"/>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15:restartNumberingAfterBreak="0">
    <w:nsid w:val="280F745D"/>
    <w:multiLevelType w:val="hybridMultilevel"/>
    <w:tmpl w:val="F89AD95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C65258F"/>
    <w:multiLevelType w:val="hybridMultilevel"/>
    <w:tmpl w:val="B67067F2"/>
    <w:lvl w:ilvl="0" w:tplc="494EA9E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4B4A1B22"/>
    <w:multiLevelType w:val="hybridMultilevel"/>
    <w:tmpl w:val="1B8E8ECE"/>
    <w:lvl w:ilvl="0" w:tplc="813C4824">
      <w:start w:val="8"/>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C2F5FC6"/>
    <w:multiLevelType w:val="hybridMultilevel"/>
    <w:tmpl w:val="C3F4FFD2"/>
    <w:lvl w:ilvl="0" w:tplc="B2C247AA">
      <w:start w:val="1"/>
      <w:numFmt w:val="decimal"/>
      <w:lvlText w:val="%1."/>
      <w:lvlJc w:val="left"/>
      <w:pPr>
        <w:ind w:left="1065" w:hanging="705"/>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D1B2D74"/>
    <w:multiLevelType w:val="hybridMultilevel"/>
    <w:tmpl w:val="9F481BC2"/>
    <w:lvl w:ilvl="0" w:tplc="324CE538">
      <w:start w:val="1"/>
      <w:numFmt w:val="decimal"/>
      <w:lvlText w:val="%1."/>
      <w:lvlJc w:val="left"/>
      <w:pPr>
        <w:tabs>
          <w:tab w:val="num" w:pos="720"/>
        </w:tabs>
        <w:ind w:left="720" w:hanging="360"/>
      </w:pPr>
      <w:rPr>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6702A3D"/>
    <w:multiLevelType w:val="hybridMultilevel"/>
    <w:tmpl w:val="59882E40"/>
    <w:lvl w:ilvl="0" w:tplc="3B72F69A">
      <w:start w:val="1"/>
      <w:numFmt w:val="decimal"/>
      <w:lvlText w:val="%1."/>
      <w:lvlJc w:val="left"/>
      <w:pPr>
        <w:tabs>
          <w:tab w:val="num" w:pos="1146"/>
        </w:tabs>
        <w:ind w:left="1146" w:hanging="360"/>
      </w:pPr>
      <w:rPr>
        <w:b/>
        <w:bCs w:val="0"/>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num w:numId="1">
    <w:abstractNumId w:val="5"/>
  </w:num>
  <w:num w:numId="2">
    <w:abstractNumId w:val="0"/>
  </w:num>
  <w:num w:numId="3">
    <w:abstractNumId w:val="1"/>
  </w:num>
  <w:num w:numId="4">
    <w:abstractNumId w:val="3"/>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22"/>
    <w:rsid w:val="00002A44"/>
    <w:rsid w:val="00003164"/>
    <w:rsid w:val="0000578E"/>
    <w:rsid w:val="00005C43"/>
    <w:rsid w:val="000074EF"/>
    <w:rsid w:val="00010632"/>
    <w:rsid w:val="00010AF7"/>
    <w:rsid w:val="00011D8A"/>
    <w:rsid w:val="00016117"/>
    <w:rsid w:val="00017C51"/>
    <w:rsid w:val="00023179"/>
    <w:rsid w:val="00026835"/>
    <w:rsid w:val="00027918"/>
    <w:rsid w:val="00030879"/>
    <w:rsid w:val="00036283"/>
    <w:rsid w:val="00036AD4"/>
    <w:rsid w:val="000378B6"/>
    <w:rsid w:val="00040EE5"/>
    <w:rsid w:val="00040F56"/>
    <w:rsid w:val="000420EB"/>
    <w:rsid w:val="00045C68"/>
    <w:rsid w:val="00050180"/>
    <w:rsid w:val="0005385C"/>
    <w:rsid w:val="000577C0"/>
    <w:rsid w:val="00060D24"/>
    <w:rsid w:val="00061B9D"/>
    <w:rsid w:val="00062275"/>
    <w:rsid w:val="00064D7E"/>
    <w:rsid w:val="00070F69"/>
    <w:rsid w:val="000713BA"/>
    <w:rsid w:val="00074C0C"/>
    <w:rsid w:val="000837FB"/>
    <w:rsid w:val="00087A95"/>
    <w:rsid w:val="0009087A"/>
    <w:rsid w:val="0009392E"/>
    <w:rsid w:val="00096531"/>
    <w:rsid w:val="00097228"/>
    <w:rsid w:val="00097FD4"/>
    <w:rsid w:val="000A0D0E"/>
    <w:rsid w:val="000A441F"/>
    <w:rsid w:val="000A638F"/>
    <w:rsid w:val="000C0FD2"/>
    <w:rsid w:val="000C2422"/>
    <w:rsid w:val="000D101F"/>
    <w:rsid w:val="000D171C"/>
    <w:rsid w:val="000D2357"/>
    <w:rsid w:val="000D52D1"/>
    <w:rsid w:val="000E2EA5"/>
    <w:rsid w:val="000F3596"/>
    <w:rsid w:val="000F5938"/>
    <w:rsid w:val="000F66D5"/>
    <w:rsid w:val="000F7FC9"/>
    <w:rsid w:val="001007CA"/>
    <w:rsid w:val="00101A92"/>
    <w:rsid w:val="00103B64"/>
    <w:rsid w:val="001057A3"/>
    <w:rsid w:val="001057E9"/>
    <w:rsid w:val="00106E68"/>
    <w:rsid w:val="00107023"/>
    <w:rsid w:val="0011152C"/>
    <w:rsid w:val="001118E5"/>
    <w:rsid w:val="00111CBA"/>
    <w:rsid w:val="0011236D"/>
    <w:rsid w:val="0011513B"/>
    <w:rsid w:val="0011557C"/>
    <w:rsid w:val="001201C8"/>
    <w:rsid w:val="0012432B"/>
    <w:rsid w:val="00126C0A"/>
    <w:rsid w:val="00126E74"/>
    <w:rsid w:val="00130DF8"/>
    <w:rsid w:val="00134999"/>
    <w:rsid w:val="001363AD"/>
    <w:rsid w:val="00136559"/>
    <w:rsid w:val="00152CBA"/>
    <w:rsid w:val="001570D2"/>
    <w:rsid w:val="0016268F"/>
    <w:rsid w:val="001649BB"/>
    <w:rsid w:val="00165B67"/>
    <w:rsid w:val="00171A3A"/>
    <w:rsid w:val="001733B5"/>
    <w:rsid w:val="00174636"/>
    <w:rsid w:val="00177183"/>
    <w:rsid w:val="00177BBA"/>
    <w:rsid w:val="001814CF"/>
    <w:rsid w:val="00182EBE"/>
    <w:rsid w:val="00182F06"/>
    <w:rsid w:val="00185153"/>
    <w:rsid w:val="0018520B"/>
    <w:rsid w:val="00186F45"/>
    <w:rsid w:val="00190C5B"/>
    <w:rsid w:val="00191BB6"/>
    <w:rsid w:val="0019344D"/>
    <w:rsid w:val="00195228"/>
    <w:rsid w:val="0019537B"/>
    <w:rsid w:val="00195F0D"/>
    <w:rsid w:val="00197C06"/>
    <w:rsid w:val="001B10D7"/>
    <w:rsid w:val="001C2AF3"/>
    <w:rsid w:val="001D2E3A"/>
    <w:rsid w:val="001D2F52"/>
    <w:rsid w:val="001D31C6"/>
    <w:rsid w:val="001D53FC"/>
    <w:rsid w:val="001D6348"/>
    <w:rsid w:val="001D7638"/>
    <w:rsid w:val="001D7A99"/>
    <w:rsid w:val="001E0ADD"/>
    <w:rsid w:val="001E13E0"/>
    <w:rsid w:val="001E3998"/>
    <w:rsid w:val="001E4219"/>
    <w:rsid w:val="001E4B77"/>
    <w:rsid w:val="001E77B8"/>
    <w:rsid w:val="0020158A"/>
    <w:rsid w:val="002043F7"/>
    <w:rsid w:val="00220C3D"/>
    <w:rsid w:val="00225B4E"/>
    <w:rsid w:val="00227801"/>
    <w:rsid w:val="00232DD8"/>
    <w:rsid w:val="00232FAD"/>
    <w:rsid w:val="002448E7"/>
    <w:rsid w:val="00246D36"/>
    <w:rsid w:val="00252E44"/>
    <w:rsid w:val="002543BB"/>
    <w:rsid w:val="00254D79"/>
    <w:rsid w:val="0025564C"/>
    <w:rsid w:val="00256935"/>
    <w:rsid w:val="00257431"/>
    <w:rsid w:val="0026202C"/>
    <w:rsid w:val="00263111"/>
    <w:rsid w:val="00265C69"/>
    <w:rsid w:val="002667F6"/>
    <w:rsid w:val="00272B3E"/>
    <w:rsid w:val="00273AE9"/>
    <w:rsid w:val="002778D8"/>
    <w:rsid w:val="002779D9"/>
    <w:rsid w:val="00287348"/>
    <w:rsid w:val="00290BEE"/>
    <w:rsid w:val="00291A19"/>
    <w:rsid w:val="002A2F85"/>
    <w:rsid w:val="002B0C9A"/>
    <w:rsid w:val="002B1BB7"/>
    <w:rsid w:val="002B1CE1"/>
    <w:rsid w:val="002B3428"/>
    <w:rsid w:val="002B67B3"/>
    <w:rsid w:val="002C035D"/>
    <w:rsid w:val="002C23DF"/>
    <w:rsid w:val="002C4D88"/>
    <w:rsid w:val="002C6FD0"/>
    <w:rsid w:val="002D0904"/>
    <w:rsid w:val="002D16EA"/>
    <w:rsid w:val="002D1812"/>
    <w:rsid w:val="002D6A8A"/>
    <w:rsid w:val="002E29CF"/>
    <w:rsid w:val="002E6AC2"/>
    <w:rsid w:val="002F410A"/>
    <w:rsid w:val="002F5B28"/>
    <w:rsid w:val="002F695E"/>
    <w:rsid w:val="002F6E31"/>
    <w:rsid w:val="002F7DD9"/>
    <w:rsid w:val="00304FBC"/>
    <w:rsid w:val="00306608"/>
    <w:rsid w:val="00306A1E"/>
    <w:rsid w:val="00313E95"/>
    <w:rsid w:val="00324422"/>
    <w:rsid w:val="00326386"/>
    <w:rsid w:val="00327C15"/>
    <w:rsid w:val="00331538"/>
    <w:rsid w:val="00331687"/>
    <w:rsid w:val="00331E21"/>
    <w:rsid w:val="0033227A"/>
    <w:rsid w:val="0033255B"/>
    <w:rsid w:val="003371D8"/>
    <w:rsid w:val="00337AB1"/>
    <w:rsid w:val="00337FA1"/>
    <w:rsid w:val="00342A1C"/>
    <w:rsid w:val="00351EB9"/>
    <w:rsid w:val="003546D4"/>
    <w:rsid w:val="003570D6"/>
    <w:rsid w:val="003600A3"/>
    <w:rsid w:val="00361C53"/>
    <w:rsid w:val="003639BA"/>
    <w:rsid w:val="00365401"/>
    <w:rsid w:val="003670DE"/>
    <w:rsid w:val="0037105F"/>
    <w:rsid w:val="00373784"/>
    <w:rsid w:val="003747E8"/>
    <w:rsid w:val="00375A2F"/>
    <w:rsid w:val="00377A98"/>
    <w:rsid w:val="00381E73"/>
    <w:rsid w:val="00382AB8"/>
    <w:rsid w:val="00382BE3"/>
    <w:rsid w:val="00385A26"/>
    <w:rsid w:val="003878A0"/>
    <w:rsid w:val="00390137"/>
    <w:rsid w:val="0039082F"/>
    <w:rsid w:val="00391469"/>
    <w:rsid w:val="00396EFB"/>
    <w:rsid w:val="003A0237"/>
    <w:rsid w:val="003A0608"/>
    <w:rsid w:val="003A2E9C"/>
    <w:rsid w:val="003A76A3"/>
    <w:rsid w:val="003B2A0F"/>
    <w:rsid w:val="003B3B8B"/>
    <w:rsid w:val="003B3DDA"/>
    <w:rsid w:val="003B6307"/>
    <w:rsid w:val="003C0888"/>
    <w:rsid w:val="003C15BF"/>
    <w:rsid w:val="003C1949"/>
    <w:rsid w:val="003C358C"/>
    <w:rsid w:val="003C46A8"/>
    <w:rsid w:val="003D057A"/>
    <w:rsid w:val="003D4801"/>
    <w:rsid w:val="003D4CF7"/>
    <w:rsid w:val="003D71F7"/>
    <w:rsid w:val="003D7AA8"/>
    <w:rsid w:val="003E2B94"/>
    <w:rsid w:val="003E6960"/>
    <w:rsid w:val="003F137B"/>
    <w:rsid w:val="003F3C17"/>
    <w:rsid w:val="003F6EFF"/>
    <w:rsid w:val="003F71E7"/>
    <w:rsid w:val="00400569"/>
    <w:rsid w:val="0040342B"/>
    <w:rsid w:val="00406BF5"/>
    <w:rsid w:val="004159D1"/>
    <w:rsid w:val="00421153"/>
    <w:rsid w:val="0042201A"/>
    <w:rsid w:val="004249F6"/>
    <w:rsid w:val="00427A02"/>
    <w:rsid w:val="00427FC5"/>
    <w:rsid w:val="0043034C"/>
    <w:rsid w:val="00433B4C"/>
    <w:rsid w:val="004369BE"/>
    <w:rsid w:val="0044359F"/>
    <w:rsid w:val="00443A4C"/>
    <w:rsid w:val="00444C39"/>
    <w:rsid w:val="00452ACC"/>
    <w:rsid w:val="00453020"/>
    <w:rsid w:val="00453F11"/>
    <w:rsid w:val="004613E0"/>
    <w:rsid w:val="00461CDA"/>
    <w:rsid w:val="004701FD"/>
    <w:rsid w:val="0047781A"/>
    <w:rsid w:val="004809F2"/>
    <w:rsid w:val="0048299E"/>
    <w:rsid w:val="00484730"/>
    <w:rsid w:val="004876B8"/>
    <w:rsid w:val="00494D38"/>
    <w:rsid w:val="004A21F0"/>
    <w:rsid w:val="004A2354"/>
    <w:rsid w:val="004A32BB"/>
    <w:rsid w:val="004A3DF9"/>
    <w:rsid w:val="004A6171"/>
    <w:rsid w:val="004A6570"/>
    <w:rsid w:val="004A7C72"/>
    <w:rsid w:val="004B10DA"/>
    <w:rsid w:val="004B5C2C"/>
    <w:rsid w:val="004B627E"/>
    <w:rsid w:val="004C12AE"/>
    <w:rsid w:val="004F2C8D"/>
    <w:rsid w:val="004F6899"/>
    <w:rsid w:val="004F778C"/>
    <w:rsid w:val="005000A2"/>
    <w:rsid w:val="005045E1"/>
    <w:rsid w:val="005060BD"/>
    <w:rsid w:val="00506469"/>
    <w:rsid w:val="005115CE"/>
    <w:rsid w:val="0051726F"/>
    <w:rsid w:val="00520942"/>
    <w:rsid w:val="00520A48"/>
    <w:rsid w:val="005245FB"/>
    <w:rsid w:val="00526239"/>
    <w:rsid w:val="005278F3"/>
    <w:rsid w:val="0053164C"/>
    <w:rsid w:val="00532656"/>
    <w:rsid w:val="00535A25"/>
    <w:rsid w:val="0053768C"/>
    <w:rsid w:val="00541B8E"/>
    <w:rsid w:val="00543E01"/>
    <w:rsid w:val="00550E62"/>
    <w:rsid w:val="0055174F"/>
    <w:rsid w:val="00554ED2"/>
    <w:rsid w:val="005563A3"/>
    <w:rsid w:val="00557590"/>
    <w:rsid w:val="00560028"/>
    <w:rsid w:val="005635CC"/>
    <w:rsid w:val="0056545C"/>
    <w:rsid w:val="00586D4C"/>
    <w:rsid w:val="00587B97"/>
    <w:rsid w:val="005952D5"/>
    <w:rsid w:val="005953BB"/>
    <w:rsid w:val="005A1C06"/>
    <w:rsid w:val="005A2997"/>
    <w:rsid w:val="005A3116"/>
    <w:rsid w:val="005A78CB"/>
    <w:rsid w:val="005B0AA4"/>
    <w:rsid w:val="005B57F5"/>
    <w:rsid w:val="005C4949"/>
    <w:rsid w:val="005D0C53"/>
    <w:rsid w:val="005D5979"/>
    <w:rsid w:val="005E27B7"/>
    <w:rsid w:val="005F24C3"/>
    <w:rsid w:val="005F39A5"/>
    <w:rsid w:val="005F642E"/>
    <w:rsid w:val="005F70E3"/>
    <w:rsid w:val="006007A6"/>
    <w:rsid w:val="006043EE"/>
    <w:rsid w:val="00617FEF"/>
    <w:rsid w:val="0062012A"/>
    <w:rsid w:val="00620B15"/>
    <w:rsid w:val="0062182F"/>
    <w:rsid w:val="006221D5"/>
    <w:rsid w:val="0062328B"/>
    <w:rsid w:val="00623BC3"/>
    <w:rsid w:val="006271A6"/>
    <w:rsid w:val="00627677"/>
    <w:rsid w:val="006429C1"/>
    <w:rsid w:val="0064305F"/>
    <w:rsid w:val="00644BD9"/>
    <w:rsid w:val="006468E1"/>
    <w:rsid w:val="00646A02"/>
    <w:rsid w:val="00650714"/>
    <w:rsid w:val="00653AB0"/>
    <w:rsid w:val="00661863"/>
    <w:rsid w:val="00662387"/>
    <w:rsid w:val="00662C3F"/>
    <w:rsid w:val="00662C65"/>
    <w:rsid w:val="0066665E"/>
    <w:rsid w:val="00666AAC"/>
    <w:rsid w:val="00673A3B"/>
    <w:rsid w:val="006778D6"/>
    <w:rsid w:val="00680644"/>
    <w:rsid w:val="006842A0"/>
    <w:rsid w:val="00690229"/>
    <w:rsid w:val="006906BA"/>
    <w:rsid w:val="00691B46"/>
    <w:rsid w:val="006949CF"/>
    <w:rsid w:val="006A0DF7"/>
    <w:rsid w:val="006A1E94"/>
    <w:rsid w:val="006A208A"/>
    <w:rsid w:val="006A2DBC"/>
    <w:rsid w:val="006A7005"/>
    <w:rsid w:val="006B0391"/>
    <w:rsid w:val="006C0588"/>
    <w:rsid w:val="006C2A53"/>
    <w:rsid w:val="006D03CB"/>
    <w:rsid w:val="006D2854"/>
    <w:rsid w:val="006E10AF"/>
    <w:rsid w:val="006E32B5"/>
    <w:rsid w:val="006E56CB"/>
    <w:rsid w:val="006E63E1"/>
    <w:rsid w:val="006F4CBA"/>
    <w:rsid w:val="006F6341"/>
    <w:rsid w:val="00701342"/>
    <w:rsid w:val="007013B5"/>
    <w:rsid w:val="0070238E"/>
    <w:rsid w:val="0072186E"/>
    <w:rsid w:val="00726594"/>
    <w:rsid w:val="00726FF0"/>
    <w:rsid w:val="00727017"/>
    <w:rsid w:val="007342B5"/>
    <w:rsid w:val="0073592F"/>
    <w:rsid w:val="00744854"/>
    <w:rsid w:val="0075151F"/>
    <w:rsid w:val="00752349"/>
    <w:rsid w:val="00753FC9"/>
    <w:rsid w:val="00754010"/>
    <w:rsid w:val="007615E1"/>
    <w:rsid w:val="007626E7"/>
    <w:rsid w:val="00773651"/>
    <w:rsid w:val="007746BE"/>
    <w:rsid w:val="00775F2D"/>
    <w:rsid w:val="00776400"/>
    <w:rsid w:val="007803B1"/>
    <w:rsid w:val="00781222"/>
    <w:rsid w:val="00783A6C"/>
    <w:rsid w:val="00784E90"/>
    <w:rsid w:val="00785E3C"/>
    <w:rsid w:val="00790D72"/>
    <w:rsid w:val="007930CB"/>
    <w:rsid w:val="007949CD"/>
    <w:rsid w:val="0079643E"/>
    <w:rsid w:val="007A5D8F"/>
    <w:rsid w:val="007A6B61"/>
    <w:rsid w:val="007B0C8B"/>
    <w:rsid w:val="007B3423"/>
    <w:rsid w:val="007B3DFB"/>
    <w:rsid w:val="007B4456"/>
    <w:rsid w:val="007B515A"/>
    <w:rsid w:val="007B56C5"/>
    <w:rsid w:val="007C1491"/>
    <w:rsid w:val="007D06D6"/>
    <w:rsid w:val="007D1734"/>
    <w:rsid w:val="007D486F"/>
    <w:rsid w:val="007D690B"/>
    <w:rsid w:val="007D73A2"/>
    <w:rsid w:val="007E2A30"/>
    <w:rsid w:val="007E47ED"/>
    <w:rsid w:val="007E578F"/>
    <w:rsid w:val="007E7F01"/>
    <w:rsid w:val="007F117B"/>
    <w:rsid w:val="007F6E7D"/>
    <w:rsid w:val="00804A35"/>
    <w:rsid w:val="00806438"/>
    <w:rsid w:val="0081212C"/>
    <w:rsid w:val="00812457"/>
    <w:rsid w:val="00825663"/>
    <w:rsid w:val="008263B4"/>
    <w:rsid w:val="00827AE1"/>
    <w:rsid w:val="008326A0"/>
    <w:rsid w:val="008331B2"/>
    <w:rsid w:val="008334DC"/>
    <w:rsid w:val="008412EE"/>
    <w:rsid w:val="00842D30"/>
    <w:rsid w:val="00844DA9"/>
    <w:rsid w:val="008457A6"/>
    <w:rsid w:val="00847DF6"/>
    <w:rsid w:val="00850581"/>
    <w:rsid w:val="00850900"/>
    <w:rsid w:val="0085230C"/>
    <w:rsid w:val="0085329D"/>
    <w:rsid w:val="0085434F"/>
    <w:rsid w:val="00861411"/>
    <w:rsid w:val="008626F7"/>
    <w:rsid w:val="008627EE"/>
    <w:rsid w:val="00875760"/>
    <w:rsid w:val="00876814"/>
    <w:rsid w:val="008815E4"/>
    <w:rsid w:val="008830FB"/>
    <w:rsid w:val="00884DAA"/>
    <w:rsid w:val="00885DDA"/>
    <w:rsid w:val="00887251"/>
    <w:rsid w:val="00890D91"/>
    <w:rsid w:val="00896C55"/>
    <w:rsid w:val="00897C56"/>
    <w:rsid w:val="00897D49"/>
    <w:rsid w:val="008A0523"/>
    <w:rsid w:val="008A62B3"/>
    <w:rsid w:val="008A6463"/>
    <w:rsid w:val="008A7CC6"/>
    <w:rsid w:val="008B69B1"/>
    <w:rsid w:val="008C4F31"/>
    <w:rsid w:val="008D19FF"/>
    <w:rsid w:val="008D2923"/>
    <w:rsid w:val="008D4070"/>
    <w:rsid w:val="008E1AFA"/>
    <w:rsid w:val="008E3475"/>
    <w:rsid w:val="008E3AF7"/>
    <w:rsid w:val="008F35AF"/>
    <w:rsid w:val="008F6A97"/>
    <w:rsid w:val="00900D07"/>
    <w:rsid w:val="009011F5"/>
    <w:rsid w:val="00901F0F"/>
    <w:rsid w:val="0090413D"/>
    <w:rsid w:val="00905119"/>
    <w:rsid w:val="00905B7F"/>
    <w:rsid w:val="00911C60"/>
    <w:rsid w:val="00914472"/>
    <w:rsid w:val="00917297"/>
    <w:rsid w:val="00920991"/>
    <w:rsid w:val="00920C9B"/>
    <w:rsid w:val="0092410C"/>
    <w:rsid w:val="00924CF4"/>
    <w:rsid w:val="009252FA"/>
    <w:rsid w:val="00932B1A"/>
    <w:rsid w:val="0094508D"/>
    <w:rsid w:val="00945EF2"/>
    <w:rsid w:val="00946CFA"/>
    <w:rsid w:val="00950150"/>
    <w:rsid w:val="00951245"/>
    <w:rsid w:val="00952CD9"/>
    <w:rsid w:val="00954EE7"/>
    <w:rsid w:val="00957732"/>
    <w:rsid w:val="00962199"/>
    <w:rsid w:val="009653E3"/>
    <w:rsid w:val="009658FC"/>
    <w:rsid w:val="00965A2B"/>
    <w:rsid w:val="00965B68"/>
    <w:rsid w:val="00980D7D"/>
    <w:rsid w:val="00982466"/>
    <w:rsid w:val="009825C3"/>
    <w:rsid w:val="00991441"/>
    <w:rsid w:val="00996E38"/>
    <w:rsid w:val="00997266"/>
    <w:rsid w:val="009A16A0"/>
    <w:rsid w:val="009A339A"/>
    <w:rsid w:val="009A4F97"/>
    <w:rsid w:val="009A7201"/>
    <w:rsid w:val="009A7D95"/>
    <w:rsid w:val="009B3F01"/>
    <w:rsid w:val="009B43FB"/>
    <w:rsid w:val="009B5CC2"/>
    <w:rsid w:val="009B7384"/>
    <w:rsid w:val="009C3C83"/>
    <w:rsid w:val="009C4822"/>
    <w:rsid w:val="009C51EB"/>
    <w:rsid w:val="009C5D0A"/>
    <w:rsid w:val="009D12DF"/>
    <w:rsid w:val="009D2528"/>
    <w:rsid w:val="009D47C0"/>
    <w:rsid w:val="009D59C1"/>
    <w:rsid w:val="009D6DCC"/>
    <w:rsid w:val="009D766B"/>
    <w:rsid w:val="009D7DB4"/>
    <w:rsid w:val="009E2ADC"/>
    <w:rsid w:val="009E5233"/>
    <w:rsid w:val="009E6D30"/>
    <w:rsid w:val="009F1C74"/>
    <w:rsid w:val="009F2D43"/>
    <w:rsid w:val="009F7811"/>
    <w:rsid w:val="009F7CE8"/>
    <w:rsid w:val="00A01196"/>
    <w:rsid w:val="00A01B81"/>
    <w:rsid w:val="00A01F22"/>
    <w:rsid w:val="00A04D4B"/>
    <w:rsid w:val="00A05017"/>
    <w:rsid w:val="00A053C9"/>
    <w:rsid w:val="00A1046A"/>
    <w:rsid w:val="00A147E2"/>
    <w:rsid w:val="00A14BA7"/>
    <w:rsid w:val="00A17B35"/>
    <w:rsid w:val="00A20AD7"/>
    <w:rsid w:val="00A215C5"/>
    <w:rsid w:val="00A26A6E"/>
    <w:rsid w:val="00A3075C"/>
    <w:rsid w:val="00A32CCB"/>
    <w:rsid w:val="00A345DF"/>
    <w:rsid w:val="00A52F70"/>
    <w:rsid w:val="00A65A4A"/>
    <w:rsid w:val="00A6645B"/>
    <w:rsid w:val="00A66EEC"/>
    <w:rsid w:val="00A77ACC"/>
    <w:rsid w:val="00A81644"/>
    <w:rsid w:val="00A827A0"/>
    <w:rsid w:val="00A84C94"/>
    <w:rsid w:val="00A90616"/>
    <w:rsid w:val="00A92339"/>
    <w:rsid w:val="00A930FF"/>
    <w:rsid w:val="00A947EB"/>
    <w:rsid w:val="00A9523F"/>
    <w:rsid w:val="00AA482B"/>
    <w:rsid w:val="00AA5C01"/>
    <w:rsid w:val="00AA5F30"/>
    <w:rsid w:val="00AB1B14"/>
    <w:rsid w:val="00AB645D"/>
    <w:rsid w:val="00AC0179"/>
    <w:rsid w:val="00AC62A0"/>
    <w:rsid w:val="00AD082F"/>
    <w:rsid w:val="00AD4B80"/>
    <w:rsid w:val="00AD609F"/>
    <w:rsid w:val="00AD75CF"/>
    <w:rsid w:val="00AE4017"/>
    <w:rsid w:val="00AE61F5"/>
    <w:rsid w:val="00AF56FE"/>
    <w:rsid w:val="00B0283E"/>
    <w:rsid w:val="00B03148"/>
    <w:rsid w:val="00B055CC"/>
    <w:rsid w:val="00B0760D"/>
    <w:rsid w:val="00B13E3D"/>
    <w:rsid w:val="00B14BDF"/>
    <w:rsid w:val="00B17635"/>
    <w:rsid w:val="00B23E01"/>
    <w:rsid w:val="00B24E87"/>
    <w:rsid w:val="00B26E0C"/>
    <w:rsid w:val="00B30CA8"/>
    <w:rsid w:val="00B34CF5"/>
    <w:rsid w:val="00B4034A"/>
    <w:rsid w:val="00B43D74"/>
    <w:rsid w:val="00B4600D"/>
    <w:rsid w:val="00B4603C"/>
    <w:rsid w:val="00B500E2"/>
    <w:rsid w:val="00B51140"/>
    <w:rsid w:val="00B57A0C"/>
    <w:rsid w:val="00B64F89"/>
    <w:rsid w:val="00B6736C"/>
    <w:rsid w:val="00B728B2"/>
    <w:rsid w:val="00B83613"/>
    <w:rsid w:val="00B90C1D"/>
    <w:rsid w:val="00B90D88"/>
    <w:rsid w:val="00B91895"/>
    <w:rsid w:val="00B9216B"/>
    <w:rsid w:val="00B93E70"/>
    <w:rsid w:val="00B96726"/>
    <w:rsid w:val="00BB02AC"/>
    <w:rsid w:val="00BB3952"/>
    <w:rsid w:val="00BB5D98"/>
    <w:rsid w:val="00BB753E"/>
    <w:rsid w:val="00BB79B4"/>
    <w:rsid w:val="00BC1F22"/>
    <w:rsid w:val="00BC2545"/>
    <w:rsid w:val="00BC52C5"/>
    <w:rsid w:val="00BD09A5"/>
    <w:rsid w:val="00BD3211"/>
    <w:rsid w:val="00BD72AD"/>
    <w:rsid w:val="00BE00B8"/>
    <w:rsid w:val="00BE1BD9"/>
    <w:rsid w:val="00BE5EE9"/>
    <w:rsid w:val="00BF4C4B"/>
    <w:rsid w:val="00BF65F6"/>
    <w:rsid w:val="00C02FBF"/>
    <w:rsid w:val="00C07086"/>
    <w:rsid w:val="00C16376"/>
    <w:rsid w:val="00C268C5"/>
    <w:rsid w:val="00C402C8"/>
    <w:rsid w:val="00C43B18"/>
    <w:rsid w:val="00C44B82"/>
    <w:rsid w:val="00C45B4B"/>
    <w:rsid w:val="00C47B38"/>
    <w:rsid w:val="00C50661"/>
    <w:rsid w:val="00C529A4"/>
    <w:rsid w:val="00C54184"/>
    <w:rsid w:val="00C620A6"/>
    <w:rsid w:val="00C622A0"/>
    <w:rsid w:val="00C6319A"/>
    <w:rsid w:val="00C641DE"/>
    <w:rsid w:val="00C65409"/>
    <w:rsid w:val="00C66012"/>
    <w:rsid w:val="00C66ED8"/>
    <w:rsid w:val="00C672B9"/>
    <w:rsid w:val="00C67D79"/>
    <w:rsid w:val="00C67FD2"/>
    <w:rsid w:val="00C700F9"/>
    <w:rsid w:val="00C732F9"/>
    <w:rsid w:val="00C73ED3"/>
    <w:rsid w:val="00C765C0"/>
    <w:rsid w:val="00C77517"/>
    <w:rsid w:val="00C809AA"/>
    <w:rsid w:val="00C84179"/>
    <w:rsid w:val="00C85182"/>
    <w:rsid w:val="00CA167D"/>
    <w:rsid w:val="00CA5A13"/>
    <w:rsid w:val="00CB30B2"/>
    <w:rsid w:val="00CB49C3"/>
    <w:rsid w:val="00CB661F"/>
    <w:rsid w:val="00CB7B99"/>
    <w:rsid w:val="00CC02C7"/>
    <w:rsid w:val="00CC54EC"/>
    <w:rsid w:val="00CE0445"/>
    <w:rsid w:val="00CE37EA"/>
    <w:rsid w:val="00CE4017"/>
    <w:rsid w:val="00CE7D87"/>
    <w:rsid w:val="00CF178A"/>
    <w:rsid w:val="00CF5EB4"/>
    <w:rsid w:val="00CF6E72"/>
    <w:rsid w:val="00D01B96"/>
    <w:rsid w:val="00D0381C"/>
    <w:rsid w:val="00D03D4B"/>
    <w:rsid w:val="00D06AAB"/>
    <w:rsid w:val="00D06B91"/>
    <w:rsid w:val="00D10062"/>
    <w:rsid w:val="00D130CB"/>
    <w:rsid w:val="00D14740"/>
    <w:rsid w:val="00D17F57"/>
    <w:rsid w:val="00D206ED"/>
    <w:rsid w:val="00D20E70"/>
    <w:rsid w:val="00D24852"/>
    <w:rsid w:val="00D250E1"/>
    <w:rsid w:val="00D26E11"/>
    <w:rsid w:val="00D27D18"/>
    <w:rsid w:val="00D3178F"/>
    <w:rsid w:val="00D32117"/>
    <w:rsid w:val="00D32F16"/>
    <w:rsid w:val="00D41931"/>
    <w:rsid w:val="00D41E09"/>
    <w:rsid w:val="00D4294F"/>
    <w:rsid w:val="00D50320"/>
    <w:rsid w:val="00D53B18"/>
    <w:rsid w:val="00D623AA"/>
    <w:rsid w:val="00D73993"/>
    <w:rsid w:val="00D755BB"/>
    <w:rsid w:val="00D80AF3"/>
    <w:rsid w:val="00D8269C"/>
    <w:rsid w:val="00D82DB0"/>
    <w:rsid w:val="00D95471"/>
    <w:rsid w:val="00DA2C82"/>
    <w:rsid w:val="00DA5DA8"/>
    <w:rsid w:val="00DA7693"/>
    <w:rsid w:val="00DA7E9B"/>
    <w:rsid w:val="00DB2D9C"/>
    <w:rsid w:val="00DB5423"/>
    <w:rsid w:val="00DB788C"/>
    <w:rsid w:val="00DC2317"/>
    <w:rsid w:val="00DC2CE6"/>
    <w:rsid w:val="00DC367B"/>
    <w:rsid w:val="00DC75A4"/>
    <w:rsid w:val="00DC7C26"/>
    <w:rsid w:val="00DD0F23"/>
    <w:rsid w:val="00DD3F9D"/>
    <w:rsid w:val="00DD5D21"/>
    <w:rsid w:val="00DE309D"/>
    <w:rsid w:val="00DF2DE3"/>
    <w:rsid w:val="00DF65F1"/>
    <w:rsid w:val="00DF6B23"/>
    <w:rsid w:val="00E02D2A"/>
    <w:rsid w:val="00E04BFA"/>
    <w:rsid w:val="00E06FB4"/>
    <w:rsid w:val="00E14E28"/>
    <w:rsid w:val="00E16F13"/>
    <w:rsid w:val="00E20C92"/>
    <w:rsid w:val="00E21DCC"/>
    <w:rsid w:val="00E22079"/>
    <w:rsid w:val="00E231C5"/>
    <w:rsid w:val="00E264AA"/>
    <w:rsid w:val="00E30CDD"/>
    <w:rsid w:val="00E360C6"/>
    <w:rsid w:val="00E37A76"/>
    <w:rsid w:val="00E40BAF"/>
    <w:rsid w:val="00E43690"/>
    <w:rsid w:val="00E50F6F"/>
    <w:rsid w:val="00E5114F"/>
    <w:rsid w:val="00E541F5"/>
    <w:rsid w:val="00E56E43"/>
    <w:rsid w:val="00E620F0"/>
    <w:rsid w:val="00E715F4"/>
    <w:rsid w:val="00E71611"/>
    <w:rsid w:val="00E75A29"/>
    <w:rsid w:val="00E75D25"/>
    <w:rsid w:val="00E75E35"/>
    <w:rsid w:val="00E8026A"/>
    <w:rsid w:val="00E80493"/>
    <w:rsid w:val="00E80A09"/>
    <w:rsid w:val="00E80F89"/>
    <w:rsid w:val="00E81712"/>
    <w:rsid w:val="00E823CB"/>
    <w:rsid w:val="00E843A1"/>
    <w:rsid w:val="00E84608"/>
    <w:rsid w:val="00E8467A"/>
    <w:rsid w:val="00E93F50"/>
    <w:rsid w:val="00E95EB4"/>
    <w:rsid w:val="00EA2BBC"/>
    <w:rsid w:val="00EA516B"/>
    <w:rsid w:val="00EB1DFD"/>
    <w:rsid w:val="00EB6A79"/>
    <w:rsid w:val="00EC61B3"/>
    <w:rsid w:val="00EC6C84"/>
    <w:rsid w:val="00EC7AEE"/>
    <w:rsid w:val="00ED206E"/>
    <w:rsid w:val="00ED34BE"/>
    <w:rsid w:val="00ED42BE"/>
    <w:rsid w:val="00ED464E"/>
    <w:rsid w:val="00ED63D0"/>
    <w:rsid w:val="00EE0F8C"/>
    <w:rsid w:val="00EE6850"/>
    <w:rsid w:val="00EE7CCE"/>
    <w:rsid w:val="00EE7CE6"/>
    <w:rsid w:val="00EF0629"/>
    <w:rsid w:val="00EF0C3E"/>
    <w:rsid w:val="00EF3129"/>
    <w:rsid w:val="00EF348C"/>
    <w:rsid w:val="00EF3711"/>
    <w:rsid w:val="00F022D5"/>
    <w:rsid w:val="00F077E9"/>
    <w:rsid w:val="00F165D8"/>
    <w:rsid w:val="00F20457"/>
    <w:rsid w:val="00F214DD"/>
    <w:rsid w:val="00F22225"/>
    <w:rsid w:val="00F2463C"/>
    <w:rsid w:val="00F25AC7"/>
    <w:rsid w:val="00F35801"/>
    <w:rsid w:val="00F45687"/>
    <w:rsid w:val="00F468F7"/>
    <w:rsid w:val="00F50B3D"/>
    <w:rsid w:val="00F62542"/>
    <w:rsid w:val="00F672DA"/>
    <w:rsid w:val="00F7253C"/>
    <w:rsid w:val="00F73E85"/>
    <w:rsid w:val="00F801F6"/>
    <w:rsid w:val="00F849F5"/>
    <w:rsid w:val="00F84B0A"/>
    <w:rsid w:val="00F87F4F"/>
    <w:rsid w:val="00FA2CAF"/>
    <w:rsid w:val="00FA30C9"/>
    <w:rsid w:val="00FA4829"/>
    <w:rsid w:val="00FA711B"/>
    <w:rsid w:val="00FB04BC"/>
    <w:rsid w:val="00FB0B84"/>
    <w:rsid w:val="00FB4CB1"/>
    <w:rsid w:val="00FB5CA5"/>
    <w:rsid w:val="00FB6E12"/>
    <w:rsid w:val="00FB75C3"/>
    <w:rsid w:val="00FC361F"/>
    <w:rsid w:val="00FC39EE"/>
    <w:rsid w:val="00FC7B01"/>
    <w:rsid w:val="00FD54D7"/>
    <w:rsid w:val="00FD7474"/>
    <w:rsid w:val="00FE7964"/>
    <w:rsid w:val="00FF22CB"/>
    <w:rsid w:val="00FF57C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7FE0E"/>
  <w15:chartTrackingRefBased/>
  <w15:docId w15:val="{B6983E24-6DE4-47BE-A4C6-D67B92568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17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rsid w:val="00A01F22"/>
    <w:pPr>
      <w:spacing w:before="100" w:beforeAutospacing="1" w:after="100" w:afterAutospacing="1"/>
    </w:pPr>
  </w:style>
  <w:style w:type="character" w:customStyle="1" w:styleId="spelle">
    <w:name w:val="spelle"/>
    <w:basedOn w:val="DefaultParagraphFont"/>
    <w:rsid w:val="00A01F22"/>
  </w:style>
  <w:style w:type="character" w:customStyle="1" w:styleId="grame">
    <w:name w:val="grame"/>
    <w:basedOn w:val="DefaultParagraphFont"/>
    <w:rsid w:val="00A01F22"/>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rsid w:val="00E06FB4"/>
    <w:rPr>
      <w:sz w:val="20"/>
      <w:szCs w:val="20"/>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qFormat/>
    <w:rsid w:val="00E06FB4"/>
    <w:rPr>
      <w:vertAlign w:val="superscript"/>
    </w:rPr>
  </w:style>
  <w:style w:type="paragraph" w:customStyle="1" w:styleId="Char1">
    <w:name w:val="Char1"/>
    <w:basedOn w:val="Normal"/>
    <w:rsid w:val="005115CE"/>
    <w:pPr>
      <w:tabs>
        <w:tab w:val="left" w:pos="709"/>
      </w:tabs>
    </w:pPr>
    <w:rPr>
      <w:rFonts w:ascii="Tahoma" w:hAnsi="Tahoma"/>
      <w:lang w:val="pl-PL" w:eastAsia="pl-PL"/>
    </w:rPr>
  </w:style>
  <w:style w:type="paragraph" w:customStyle="1" w:styleId="Char">
    <w:name w:val="Char"/>
    <w:basedOn w:val="Normal"/>
    <w:rsid w:val="008815E4"/>
    <w:pPr>
      <w:tabs>
        <w:tab w:val="left" w:pos="709"/>
      </w:tabs>
      <w:spacing w:before="120" w:after="120"/>
      <w:jc w:val="both"/>
    </w:pPr>
    <w:rPr>
      <w:rFonts w:ascii="Tahoma" w:hAnsi="Tahoma"/>
      <w:szCs w:val="20"/>
      <w:lang w:val="pl-PL" w:eastAsia="pl-PL"/>
    </w:rPr>
  </w:style>
  <w:style w:type="paragraph" w:styleId="Footer">
    <w:name w:val="footer"/>
    <w:basedOn w:val="Normal"/>
    <w:rsid w:val="000C2422"/>
    <w:pPr>
      <w:tabs>
        <w:tab w:val="center" w:pos="4536"/>
        <w:tab w:val="right" w:pos="9072"/>
      </w:tabs>
    </w:pPr>
  </w:style>
  <w:style w:type="character" w:styleId="PageNumber">
    <w:name w:val="page number"/>
    <w:basedOn w:val="DefaultParagraphFont"/>
    <w:rsid w:val="000C2422"/>
  </w:style>
  <w:style w:type="paragraph" w:styleId="BalloonText">
    <w:name w:val="Balloon Text"/>
    <w:basedOn w:val="Normal"/>
    <w:semiHidden/>
    <w:rsid w:val="00B90C1D"/>
    <w:rPr>
      <w:rFonts w:ascii="Tahoma" w:hAnsi="Tahoma" w:cs="Tahoma"/>
      <w:sz w:val="16"/>
      <w:szCs w:val="16"/>
    </w:rPr>
  </w:style>
  <w:style w:type="paragraph" w:customStyle="1" w:styleId="Char1CharCharChar">
    <w:name w:val="Char1 Char Char Char"/>
    <w:basedOn w:val="Normal"/>
    <w:rsid w:val="00B90C1D"/>
    <w:pPr>
      <w:tabs>
        <w:tab w:val="left" w:pos="709"/>
      </w:tabs>
    </w:pPr>
    <w:rPr>
      <w:rFonts w:ascii="Tahoma" w:hAnsi="Tahoma"/>
      <w:lang w:val="pl-PL" w:eastAsia="pl-PL"/>
    </w:rPr>
  </w:style>
  <w:style w:type="paragraph" w:styleId="TOC6">
    <w:name w:val="toc 6"/>
    <w:basedOn w:val="Normal"/>
    <w:next w:val="Normal"/>
    <w:autoRedefine/>
    <w:semiHidden/>
    <w:rsid w:val="008A6463"/>
    <w:pPr>
      <w:ind w:left="1200"/>
    </w:pPr>
    <w:rPr>
      <w:lang w:val="en-US" w:eastAsia="en-US"/>
    </w:rPr>
  </w:style>
  <w:style w:type="paragraph" w:customStyle="1" w:styleId="TableContents">
    <w:name w:val="Table Contents"/>
    <w:basedOn w:val="BodyText"/>
    <w:rsid w:val="008A6463"/>
    <w:pPr>
      <w:widowControl w:val="0"/>
      <w:suppressLineNumbers/>
      <w:suppressAutoHyphens/>
      <w:spacing w:before="100" w:beforeAutospacing="1" w:after="100" w:afterAutospacing="1"/>
    </w:pPr>
    <w:rPr>
      <w:rFonts w:eastAsia="HG Mincho Light J"/>
      <w:color w:val="000000"/>
      <w:lang w:val="en-US"/>
    </w:rPr>
  </w:style>
  <w:style w:type="paragraph" w:customStyle="1" w:styleId="Index">
    <w:name w:val="Index"/>
    <w:basedOn w:val="Normal"/>
    <w:rsid w:val="008A6463"/>
    <w:pPr>
      <w:widowControl w:val="0"/>
      <w:suppressLineNumbers/>
      <w:suppressAutoHyphens/>
    </w:pPr>
    <w:rPr>
      <w:rFonts w:eastAsia="HG Mincho Light J"/>
      <w:color w:val="000000"/>
      <w:szCs w:val="20"/>
      <w:lang w:val="en-US"/>
    </w:rPr>
  </w:style>
  <w:style w:type="paragraph" w:styleId="BodyText">
    <w:name w:val="Body Text"/>
    <w:basedOn w:val="Normal"/>
    <w:rsid w:val="008A6463"/>
    <w:pPr>
      <w:spacing w:after="120"/>
    </w:pPr>
  </w:style>
  <w:style w:type="paragraph" w:customStyle="1" w:styleId="Char1CharChar">
    <w:name w:val="Char1 Char Char Знак Знак"/>
    <w:basedOn w:val="Normal"/>
    <w:rsid w:val="00991441"/>
    <w:pPr>
      <w:tabs>
        <w:tab w:val="left" w:pos="709"/>
      </w:tabs>
    </w:pPr>
    <w:rPr>
      <w:rFonts w:ascii="Tahoma" w:hAnsi="Tahoma"/>
      <w:lang w:val="pl-PL" w:eastAsia="pl-PL"/>
    </w:rPr>
  </w:style>
  <w:style w:type="paragraph" w:customStyle="1" w:styleId="CharCharCharCharCharChar">
    <w:name w:val="Char Char Char Char Char Char"/>
    <w:basedOn w:val="Normal"/>
    <w:rsid w:val="004B627E"/>
    <w:pPr>
      <w:tabs>
        <w:tab w:val="left" w:pos="709"/>
      </w:tabs>
    </w:pPr>
    <w:rPr>
      <w:rFonts w:ascii="Tahoma" w:hAnsi="Tahoma"/>
      <w:lang w:val="pl-PL" w:eastAsia="pl-PL"/>
    </w:rPr>
  </w:style>
  <w:style w:type="paragraph" w:customStyle="1" w:styleId="firstline">
    <w:name w:val="firstline"/>
    <w:basedOn w:val="Normal"/>
    <w:rsid w:val="004B627E"/>
    <w:pPr>
      <w:spacing w:before="100" w:beforeAutospacing="1" w:after="100" w:afterAutospacing="1"/>
    </w:pPr>
  </w:style>
  <w:style w:type="character" w:customStyle="1" w:styleId="NormalWebChar1">
    <w:name w:val="Normal (Web) Char1"/>
    <w:aliases w:val="Normal (Web) Char Char"/>
    <w:link w:val="NormalWeb"/>
    <w:rsid w:val="00A147E2"/>
    <w:rPr>
      <w:sz w:val="24"/>
      <w:szCs w:val="24"/>
      <w:lang w:val="bg-BG" w:eastAsia="bg-BG" w:bidi="ar-SA"/>
    </w:rPr>
  </w:style>
  <w:style w:type="paragraph" w:styleId="Header">
    <w:name w:val="header"/>
    <w:basedOn w:val="Normal"/>
    <w:link w:val="HeaderChar"/>
    <w:uiPriority w:val="99"/>
    <w:rsid w:val="00F468F7"/>
    <w:pPr>
      <w:tabs>
        <w:tab w:val="center" w:pos="4536"/>
        <w:tab w:val="right" w:pos="9072"/>
      </w:tabs>
    </w:pPr>
  </w:style>
  <w:style w:type="character" w:styleId="Strong">
    <w:name w:val="Strong"/>
    <w:qFormat/>
    <w:rsid w:val="00EF0629"/>
    <w:rPr>
      <w:b/>
      <w:bCs/>
    </w:rPr>
  </w:style>
  <w:style w:type="paragraph" w:customStyle="1" w:styleId="tableheading">
    <w:name w:val="tableheading"/>
    <w:basedOn w:val="Normal"/>
    <w:rsid w:val="00EF0629"/>
    <w:pPr>
      <w:spacing w:before="100" w:beforeAutospacing="1" w:after="100" w:afterAutospacing="1"/>
    </w:pPr>
  </w:style>
  <w:style w:type="paragraph" w:customStyle="1" w:styleId="tablecontents0">
    <w:name w:val="tablecontents"/>
    <w:basedOn w:val="Normal"/>
    <w:rsid w:val="00EF0629"/>
    <w:pPr>
      <w:spacing w:before="100" w:beforeAutospacing="1" w:after="100" w:afterAutospacing="1"/>
    </w:pPr>
  </w:style>
  <w:style w:type="character" w:customStyle="1" w:styleId="HeaderChar">
    <w:name w:val="Header Char"/>
    <w:link w:val="Header"/>
    <w:uiPriority w:val="99"/>
    <w:rsid w:val="007B4456"/>
    <w:rPr>
      <w:sz w:val="24"/>
      <w:szCs w:val="24"/>
      <w:lang w:val="bg-BG" w:eastAsia="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85434F"/>
  </w:style>
  <w:style w:type="paragraph" w:styleId="ListParagraph">
    <w:name w:val="List Paragraph"/>
    <w:basedOn w:val="Normal"/>
    <w:uiPriority w:val="34"/>
    <w:qFormat/>
    <w:rsid w:val="00C700F9"/>
    <w:pPr>
      <w:ind w:left="708"/>
    </w:pPr>
  </w:style>
  <w:style w:type="character" w:styleId="CommentReference">
    <w:name w:val="annotation reference"/>
    <w:uiPriority w:val="99"/>
    <w:rsid w:val="00DA5DA8"/>
    <w:rPr>
      <w:sz w:val="16"/>
      <w:szCs w:val="16"/>
    </w:rPr>
  </w:style>
  <w:style w:type="paragraph" w:styleId="CommentText">
    <w:name w:val="annotation text"/>
    <w:basedOn w:val="Normal"/>
    <w:link w:val="CommentTextChar"/>
    <w:rsid w:val="00DA5DA8"/>
    <w:rPr>
      <w:sz w:val="20"/>
      <w:szCs w:val="20"/>
    </w:rPr>
  </w:style>
  <w:style w:type="character" w:customStyle="1" w:styleId="CommentTextChar">
    <w:name w:val="Comment Text Char"/>
    <w:link w:val="CommentText"/>
    <w:rsid w:val="00DA5DA8"/>
    <w:rPr>
      <w:lang w:val="bg-BG" w:eastAsia="bg-BG"/>
    </w:rPr>
  </w:style>
  <w:style w:type="paragraph" w:styleId="CommentSubject">
    <w:name w:val="annotation subject"/>
    <w:basedOn w:val="CommentText"/>
    <w:next w:val="CommentText"/>
    <w:link w:val="CommentSubjectChar"/>
    <w:rsid w:val="00DA5DA8"/>
    <w:rPr>
      <w:b/>
      <w:bCs/>
    </w:rPr>
  </w:style>
  <w:style w:type="character" w:customStyle="1" w:styleId="CommentSubjectChar">
    <w:name w:val="Comment Subject Char"/>
    <w:link w:val="CommentSubject"/>
    <w:rsid w:val="00DA5DA8"/>
    <w:rPr>
      <w:b/>
      <w:bCs/>
      <w:lang w:val="bg-BG" w:eastAsia="bg-BG"/>
    </w:rPr>
  </w:style>
  <w:style w:type="paragraph" w:styleId="Revision">
    <w:name w:val="Revision"/>
    <w:hidden/>
    <w:uiPriority w:val="99"/>
    <w:semiHidden/>
    <w:rsid w:val="00690229"/>
    <w:rPr>
      <w:sz w:val="24"/>
      <w:szCs w:val="24"/>
    </w:rPr>
  </w:style>
  <w:style w:type="table" w:styleId="TableGrid">
    <w:name w:val="Table Grid"/>
    <w:basedOn w:val="TableNormal"/>
    <w:rsid w:val="00E54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E4017"/>
    <w:rPr>
      <w:color w:val="0000FF"/>
      <w:u w:val="single"/>
    </w:rPr>
  </w:style>
  <w:style w:type="character" w:styleId="FollowedHyperlink">
    <w:name w:val="FollowedHyperlink"/>
    <w:rsid w:val="00111CBA"/>
    <w:rPr>
      <w:color w:val="954F72"/>
      <w:u w:val="single"/>
    </w:rPr>
  </w:style>
  <w:style w:type="character" w:styleId="UnresolvedMention">
    <w:name w:val="Unresolved Mention"/>
    <w:uiPriority w:val="99"/>
    <w:semiHidden/>
    <w:unhideWhenUsed/>
    <w:rsid w:val="008124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7459">
      <w:bodyDiv w:val="1"/>
      <w:marLeft w:val="0"/>
      <w:marRight w:val="0"/>
      <w:marTop w:val="0"/>
      <w:marBottom w:val="0"/>
      <w:divBdr>
        <w:top w:val="none" w:sz="0" w:space="0" w:color="auto"/>
        <w:left w:val="none" w:sz="0" w:space="0" w:color="auto"/>
        <w:bottom w:val="none" w:sz="0" w:space="0" w:color="auto"/>
        <w:right w:val="none" w:sz="0" w:space="0" w:color="auto"/>
      </w:divBdr>
    </w:div>
    <w:div w:id="24983592">
      <w:bodyDiv w:val="1"/>
      <w:marLeft w:val="0"/>
      <w:marRight w:val="0"/>
      <w:marTop w:val="0"/>
      <w:marBottom w:val="0"/>
      <w:divBdr>
        <w:top w:val="none" w:sz="0" w:space="0" w:color="auto"/>
        <w:left w:val="none" w:sz="0" w:space="0" w:color="auto"/>
        <w:bottom w:val="none" w:sz="0" w:space="0" w:color="auto"/>
        <w:right w:val="none" w:sz="0" w:space="0" w:color="auto"/>
      </w:divBdr>
    </w:div>
    <w:div w:id="289749629">
      <w:bodyDiv w:val="1"/>
      <w:marLeft w:val="0"/>
      <w:marRight w:val="0"/>
      <w:marTop w:val="0"/>
      <w:marBottom w:val="0"/>
      <w:divBdr>
        <w:top w:val="none" w:sz="0" w:space="0" w:color="auto"/>
        <w:left w:val="none" w:sz="0" w:space="0" w:color="auto"/>
        <w:bottom w:val="none" w:sz="0" w:space="0" w:color="auto"/>
        <w:right w:val="none" w:sz="0" w:space="0" w:color="auto"/>
      </w:divBdr>
    </w:div>
    <w:div w:id="400063342">
      <w:bodyDiv w:val="1"/>
      <w:marLeft w:val="0"/>
      <w:marRight w:val="0"/>
      <w:marTop w:val="0"/>
      <w:marBottom w:val="0"/>
      <w:divBdr>
        <w:top w:val="none" w:sz="0" w:space="0" w:color="auto"/>
        <w:left w:val="none" w:sz="0" w:space="0" w:color="auto"/>
        <w:bottom w:val="none" w:sz="0" w:space="0" w:color="auto"/>
        <w:right w:val="none" w:sz="0" w:space="0" w:color="auto"/>
      </w:divBdr>
    </w:div>
    <w:div w:id="778447205">
      <w:bodyDiv w:val="1"/>
      <w:marLeft w:val="0"/>
      <w:marRight w:val="0"/>
      <w:marTop w:val="0"/>
      <w:marBottom w:val="0"/>
      <w:divBdr>
        <w:top w:val="none" w:sz="0" w:space="0" w:color="auto"/>
        <w:left w:val="none" w:sz="0" w:space="0" w:color="auto"/>
        <w:bottom w:val="none" w:sz="0" w:space="0" w:color="auto"/>
        <w:right w:val="none" w:sz="0" w:space="0" w:color="auto"/>
      </w:divBdr>
    </w:div>
    <w:div w:id="956570872">
      <w:bodyDiv w:val="1"/>
      <w:marLeft w:val="0"/>
      <w:marRight w:val="0"/>
      <w:marTop w:val="0"/>
      <w:marBottom w:val="0"/>
      <w:divBdr>
        <w:top w:val="none" w:sz="0" w:space="0" w:color="auto"/>
        <w:left w:val="none" w:sz="0" w:space="0" w:color="auto"/>
        <w:bottom w:val="none" w:sz="0" w:space="0" w:color="auto"/>
        <w:right w:val="none" w:sz="0" w:space="0" w:color="auto"/>
      </w:divBdr>
    </w:div>
    <w:div w:id="1696228254">
      <w:bodyDiv w:val="1"/>
      <w:marLeft w:val="0"/>
      <w:marRight w:val="0"/>
      <w:marTop w:val="0"/>
      <w:marBottom w:val="0"/>
      <w:divBdr>
        <w:top w:val="none" w:sz="0" w:space="0" w:color="auto"/>
        <w:left w:val="none" w:sz="0" w:space="0" w:color="auto"/>
        <w:bottom w:val="none" w:sz="0" w:space="0" w:color="auto"/>
        <w:right w:val="none" w:sz="0" w:space="0" w:color="auto"/>
      </w:divBdr>
    </w:div>
    <w:div w:id="198746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q.mon.bg/" TargetMode="External"/><Relationship Id="rId13" Type="http://schemas.openxmlformats.org/officeDocument/2006/relationships/hyperlink" Target="https://www.nsi.bg/sites/default/files/files/publications/KID-2025.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inimis.minfin.b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id-register.ec.europa.eu/de-minim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id-register.ec.europa.eu/de-minimis" TargetMode="External"/><Relationship Id="rId5" Type="http://schemas.openxmlformats.org/officeDocument/2006/relationships/webSettings" Target="webSettings.xml"/><Relationship Id="rId15" Type="http://schemas.openxmlformats.org/officeDocument/2006/relationships/hyperlink" Target="https://aid-register.ec.europa.eu/de-minimis" TargetMode="External"/><Relationship Id="rId10" Type="http://schemas.openxmlformats.org/officeDocument/2006/relationships/hyperlink" Target="https://minimis.minfin.b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id-register.ec.europa.eu/de-minimis" TargetMode="External"/><Relationship Id="rId14" Type="http://schemas.openxmlformats.org/officeDocument/2006/relationships/hyperlink" Target="https://aid-register.ec.europa.eu/de-minimi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mlsp.government.bg/uploads/35/sv/action-plan-egd-2030.pdf" TargetMode="External"/><Relationship Id="rId2" Type="http://schemas.openxmlformats.org/officeDocument/2006/relationships/hyperlink" Target="https://eur-lex.europa.eu/legal-content/BG/TXT/?uri=CELEX:32021H1004" TargetMode="External"/><Relationship Id="rId1" Type="http://schemas.openxmlformats.org/officeDocument/2006/relationships/hyperlink" Target="https://nccedi.government.bg/bg/node/448"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B57A0-647C-4F7F-87B3-99CE651F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18</Pages>
  <Words>8741</Words>
  <Characters>49830</Characters>
  <Application>Microsoft Office Word</Application>
  <DocSecurity>0</DocSecurity>
  <Lines>415</Lines>
  <Paragraphs>116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58455</CharactersWithSpaces>
  <SharedDoc>false</SharedDoc>
  <HLinks>
    <vt:vector size="78" baseType="variant">
      <vt:variant>
        <vt:i4>6094871</vt:i4>
      </vt:variant>
      <vt:variant>
        <vt:i4>27</vt:i4>
      </vt:variant>
      <vt:variant>
        <vt:i4>0</vt:i4>
      </vt:variant>
      <vt:variant>
        <vt:i4>5</vt:i4>
      </vt:variant>
      <vt:variant>
        <vt:lpwstr>https://aid-register.ec.europa.eu/de-minimis</vt:lpwstr>
      </vt:variant>
      <vt:variant>
        <vt:lpwstr/>
      </vt:variant>
      <vt:variant>
        <vt:i4>6094871</vt:i4>
      </vt:variant>
      <vt:variant>
        <vt:i4>24</vt:i4>
      </vt:variant>
      <vt:variant>
        <vt:i4>0</vt:i4>
      </vt:variant>
      <vt:variant>
        <vt:i4>5</vt:i4>
      </vt:variant>
      <vt:variant>
        <vt:lpwstr>https://aid-register.ec.europa.eu/de-minimis</vt:lpwstr>
      </vt:variant>
      <vt:variant>
        <vt:lpwstr/>
      </vt:variant>
      <vt:variant>
        <vt:i4>6094871</vt:i4>
      </vt:variant>
      <vt:variant>
        <vt:i4>21</vt:i4>
      </vt:variant>
      <vt:variant>
        <vt:i4>0</vt:i4>
      </vt:variant>
      <vt:variant>
        <vt:i4>5</vt:i4>
      </vt:variant>
      <vt:variant>
        <vt:lpwstr>https://aid-register.ec.europa.eu/de-minimis</vt:lpwstr>
      </vt:variant>
      <vt:variant>
        <vt:lpwstr/>
      </vt:variant>
      <vt:variant>
        <vt:i4>6291513</vt:i4>
      </vt:variant>
      <vt:variant>
        <vt:i4>18</vt:i4>
      </vt:variant>
      <vt:variant>
        <vt:i4>0</vt:i4>
      </vt:variant>
      <vt:variant>
        <vt:i4>5</vt:i4>
      </vt:variant>
      <vt:variant>
        <vt:lpwstr>https://www.nsi.bg/sites/default/files/files/publications/KID-2025.pdf</vt:lpwstr>
      </vt:variant>
      <vt:variant>
        <vt:lpwstr/>
      </vt:variant>
      <vt:variant>
        <vt:i4>7995518</vt:i4>
      </vt:variant>
      <vt:variant>
        <vt:i4>15</vt:i4>
      </vt:variant>
      <vt:variant>
        <vt:i4>0</vt:i4>
      </vt:variant>
      <vt:variant>
        <vt:i4>5</vt:i4>
      </vt:variant>
      <vt:variant>
        <vt:lpwstr>https://minimis.minfin.bg/</vt:lpwstr>
      </vt:variant>
      <vt:variant>
        <vt:lpwstr/>
      </vt:variant>
      <vt:variant>
        <vt:i4>6094871</vt:i4>
      </vt:variant>
      <vt:variant>
        <vt:i4>12</vt:i4>
      </vt:variant>
      <vt:variant>
        <vt:i4>0</vt:i4>
      </vt:variant>
      <vt:variant>
        <vt:i4>5</vt:i4>
      </vt:variant>
      <vt:variant>
        <vt:lpwstr>https://aid-register.ec.europa.eu/de-minimis</vt:lpwstr>
      </vt:variant>
      <vt:variant>
        <vt:lpwstr/>
      </vt:variant>
      <vt:variant>
        <vt:i4>7995518</vt:i4>
      </vt:variant>
      <vt:variant>
        <vt:i4>9</vt:i4>
      </vt:variant>
      <vt:variant>
        <vt:i4>0</vt:i4>
      </vt:variant>
      <vt:variant>
        <vt:i4>5</vt:i4>
      </vt:variant>
      <vt:variant>
        <vt:lpwstr>https://minimis.minfin.bg/</vt:lpwstr>
      </vt:variant>
      <vt:variant>
        <vt:lpwstr/>
      </vt:variant>
      <vt:variant>
        <vt:i4>6094871</vt:i4>
      </vt:variant>
      <vt:variant>
        <vt:i4>6</vt:i4>
      </vt:variant>
      <vt:variant>
        <vt:i4>0</vt:i4>
      </vt:variant>
      <vt:variant>
        <vt:i4>5</vt:i4>
      </vt:variant>
      <vt:variant>
        <vt:lpwstr>https://aid-register.ec.europa.eu/de-minimis</vt:lpwstr>
      </vt:variant>
      <vt:variant>
        <vt:lpwstr/>
      </vt:variant>
      <vt:variant>
        <vt:i4>7995518</vt:i4>
      </vt:variant>
      <vt:variant>
        <vt:i4>3</vt:i4>
      </vt:variant>
      <vt:variant>
        <vt:i4>0</vt:i4>
      </vt:variant>
      <vt:variant>
        <vt:i4>5</vt:i4>
      </vt:variant>
      <vt:variant>
        <vt:lpwstr>https://minimis.minfin.bg/</vt:lpwstr>
      </vt:variant>
      <vt:variant>
        <vt:lpwstr/>
      </vt:variant>
      <vt:variant>
        <vt:i4>3014714</vt:i4>
      </vt:variant>
      <vt:variant>
        <vt:i4>0</vt:i4>
      </vt:variant>
      <vt:variant>
        <vt:i4>0</vt:i4>
      </vt:variant>
      <vt:variant>
        <vt:i4>5</vt:i4>
      </vt:variant>
      <vt:variant>
        <vt:lpwstr>https://rq.mon.bg/</vt:lpwstr>
      </vt:variant>
      <vt:variant>
        <vt:lpwstr/>
      </vt:variant>
      <vt:variant>
        <vt:i4>196631</vt:i4>
      </vt:variant>
      <vt:variant>
        <vt:i4>6</vt:i4>
      </vt:variant>
      <vt:variant>
        <vt:i4>0</vt:i4>
      </vt:variant>
      <vt:variant>
        <vt:i4>5</vt:i4>
      </vt:variant>
      <vt:variant>
        <vt:lpwstr>https://www.mlsp.government.bg/uploads/35/sv/action-plan-egd-2030.pdf</vt:lpwstr>
      </vt:variant>
      <vt:variant>
        <vt:lpwstr/>
      </vt:variant>
      <vt:variant>
        <vt:i4>65606</vt:i4>
      </vt:variant>
      <vt:variant>
        <vt:i4>3</vt:i4>
      </vt:variant>
      <vt:variant>
        <vt:i4>0</vt:i4>
      </vt:variant>
      <vt:variant>
        <vt:i4>5</vt:i4>
      </vt:variant>
      <vt:variant>
        <vt:lpwstr>https://eur-lex.europa.eu/legal-content/BG/TXT/?uri=CELEX:32021H1004</vt:lpwstr>
      </vt:variant>
      <vt:variant>
        <vt:lpwstr/>
      </vt:variant>
      <vt:variant>
        <vt:i4>1835081</vt:i4>
      </vt:variant>
      <vt:variant>
        <vt:i4>0</vt:i4>
      </vt:variant>
      <vt:variant>
        <vt:i4>0</vt:i4>
      </vt:variant>
      <vt:variant>
        <vt:i4>5</vt:i4>
      </vt:variant>
      <vt:variant>
        <vt:lpwstr>https://nccedi.government.bg/bg/node/448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anicolova</dc:creator>
  <cp:keywords/>
  <cp:lastModifiedBy>Author</cp:lastModifiedBy>
  <cp:revision>6</cp:revision>
  <cp:lastPrinted>2008-11-03T17:41:00Z</cp:lastPrinted>
  <dcterms:created xsi:type="dcterms:W3CDTF">2024-11-14T15:43:00Z</dcterms:created>
  <dcterms:modified xsi:type="dcterms:W3CDTF">2026-06-04T06:41:00Z</dcterms:modified>
</cp:coreProperties>
</file>